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AD39C">
      <w:pPr>
        <w:pStyle w:val="14"/>
        <w:snapToGrid w:val="0"/>
        <w:jc w:val="center"/>
        <w:rPr>
          <w:rFonts w:ascii="Arial" w:hAnsi="Arial" w:eastAsia="方正小标宋简体" w:cs="Arial"/>
          <w:color w:val="auto"/>
          <w:sz w:val="72"/>
          <w:szCs w:val="72"/>
        </w:rPr>
      </w:pPr>
    </w:p>
    <w:p w14:paraId="0B545FB1">
      <w:pPr>
        <w:pStyle w:val="14"/>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1A8803A0">
      <w:pPr>
        <w:pStyle w:val="14"/>
        <w:snapToGrid w:val="0"/>
        <w:jc w:val="center"/>
        <w:rPr>
          <w:rFonts w:ascii="Arial" w:hAnsi="Arial" w:eastAsia="方正小标宋简体" w:cs="Arial"/>
          <w:color w:val="auto"/>
          <w:sz w:val="72"/>
          <w:szCs w:val="72"/>
        </w:rPr>
      </w:pPr>
    </w:p>
    <w:p w14:paraId="1974BDE6">
      <w:pPr>
        <w:pStyle w:val="14"/>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576C414">
      <w:pPr>
        <w:pStyle w:val="14"/>
        <w:snapToGrid w:val="0"/>
        <w:jc w:val="center"/>
        <w:rPr>
          <w:rFonts w:ascii="Arial" w:hAnsi="Arial" w:eastAsia="方正小标宋简体" w:cs="Arial"/>
          <w:color w:val="auto"/>
          <w:sz w:val="72"/>
          <w:szCs w:val="72"/>
        </w:rPr>
      </w:pPr>
    </w:p>
    <w:p w14:paraId="58C9A7A7">
      <w:pPr>
        <w:pStyle w:val="1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285ABD7E">
      <w:pPr>
        <w:pStyle w:val="14"/>
        <w:snapToGrid w:val="0"/>
        <w:jc w:val="center"/>
        <w:rPr>
          <w:rFonts w:ascii="Arial" w:hAnsi="Arial" w:eastAsia="方正小标宋简体" w:cs="Arial"/>
          <w:color w:val="auto"/>
          <w:sz w:val="72"/>
          <w:szCs w:val="72"/>
        </w:rPr>
      </w:pPr>
    </w:p>
    <w:p w14:paraId="68DFB973">
      <w:pPr>
        <w:pStyle w:val="1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44C711BC">
      <w:pPr>
        <w:pStyle w:val="14"/>
        <w:snapToGrid w:val="0"/>
        <w:jc w:val="center"/>
        <w:rPr>
          <w:rFonts w:ascii="Arial" w:hAnsi="Arial" w:eastAsia="方正小标宋简体" w:cs="Arial"/>
          <w:color w:val="auto"/>
          <w:sz w:val="72"/>
          <w:szCs w:val="72"/>
        </w:rPr>
      </w:pPr>
    </w:p>
    <w:p w14:paraId="0E3B0247">
      <w:pPr>
        <w:pStyle w:val="14"/>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47183B31">
      <w:pPr>
        <w:pStyle w:val="14"/>
        <w:snapToGrid w:val="0"/>
        <w:jc w:val="center"/>
        <w:rPr>
          <w:rFonts w:ascii="Arial" w:hAnsi="Arial" w:cs="Arial"/>
          <w:color w:val="auto"/>
          <w:sz w:val="32"/>
          <w:szCs w:val="32"/>
        </w:rPr>
      </w:pPr>
    </w:p>
    <w:p w14:paraId="51BCFDEA">
      <w:pPr>
        <w:pStyle w:val="14"/>
        <w:snapToGrid w:val="0"/>
        <w:jc w:val="center"/>
        <w:rPr>
          <w:rFonts w:ascii="Arial" w:hAnsi="Arial" w:cs="Arial"/>
          <w:color w:val="auto"/>
          <w:sz w:val="32"/>
          <w:szCs w:val="32"/>
        </w:rPr>
      </w:pPr>
    </w:p>
    <w:p w14:paraId="2F3FC110">
      <w:pPr>
        <w:pStyle w:val="14"/>
        <w:snapToGrid w:val="0"/>
        <w:jc w:val="center"/>
        <w:rPr>
          <w:rFonts w:ascii="Arial" w:hAnsi="Arial" w:cs="Arial"/>
          <w:color w:val="auto"/>
          <w:sz w:val="32"/>
          <w:szCs w:val="32"/>
        </w:rPr>
      </w:pPr>
    </w:p>
    <w:p w14:paraId="647C011D">
      <w:pPr>
        <w:spacing w:line="360" w:lineRule="auto"/>
        <w:rPr>
          <w:rFonts w:hint="eastAsia"/>
          <w:bCs/>
          <w:color w:val="auto"/>
          <w:sz w:val="32"/>
          <w:szCs w:val="32"/>
        </w:rPr>
      </w:pPr>
    </w:p>
    <w:p w14:paraId="20CE8D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儿童健康测评系统</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14:paraId="48334C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374B8E65">
      <w:pPr>
        <w:spacing w:line="320" w:lineRule="exact"/>
        <w:jc w:val="left"/>
        <w:rPr>
          <w:color w:val="auto"/>
          <w:sz w:val="24"/>
        </w:rPr>
      </w:pPr>
    </w:p>
    <w:p w14:paraId="78E8487A">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lang w:eastAsia="zh-CN"/>
        </w:rPr>
        <w:t>月</w:t>
      </w:r>
    </w:p>
    <w:p w14:paraId="7984DAC2">
      <w:pPr>
        <w:rPr>
          <w:rFonts w:hint="eastAsia" w:ascii="宋体" w:hAnsi="宋体" w:cs="宋体"/>
          <w:color w:val="auto"/>
          <w:sz w:val="44"/>
          <w:szCs w:val="44"/>
          <w:lang w:val="en-US" w:eastAsia="zh-CN"/>
        </w:rPr>
      </w:pPr>
    </w:p>
    <w:p w14:paraId="4EED1D13">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C490EA8">
      <w:pPr>
        <w:pStyle w:val="14"/>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娄底市中心医院儿童健康测评系统项目进行单一来源采购，现邀请你单位</w:t>
      </w:r>
      <w:r>
        <w:rPr>
          <w:rFonts w:hint="eastAsia" w:hAnsi="Times New Roman"/>
          <w:bCs/>
          <w:color w:val="auto"/>
          <w:sz w:val="28"/>
          <w:szCs w:val="28"/>
          <w:lang w:val="en-US" w:eastAsia="zh-CN"/>
        </w:rPr>
        <w:t>（</w:t>
      </w:r>
      <w:r>
        <w:rPr>
          <w:rFonts w:hint="eastAsia"/>
          <w:bCs/>
          <w:color w:val="auto"/>
          <w:sz w:val="28"/>
          <w:szCs w:val="28"/>
          <w:lang w:val="en-US" w:eastAsia="zh-CN"/>
        </w:rPr>
        <w:t>湖南尔葆健康科技有限公司</w:t>
      </w:r>
      <w:r>
        <w:rPr>
          <w:rFonts w:hint="eastAsia" w:hAnsi="Times New Roman"/>
          <w:bCs/>
          <w:color w:val="auto"/>
          <w:sz w:val="28"/>
          <w:szCs w:val="28"/>
          <w:lang w:val="en-US" w:eastAsia="zh-CN"/>
        </w:rPr>
        <w:t>）</w:t>
      </w:r>
      <w:r>
        <w:rPr>
          <w:rFonts w:hint="eastAsia"/>
          <w:bCs/>
          <w:color w:val="auto"/>
          <w:sz w:val="28"/>
          <w:szCs w:val="28"/>
          <w:lang w:val="en-US" w:eastAsia="zh-CN"/>
        </w:rPr>
        <w:t>参加协商。</w:t>
      </w:r>
    </w:p>
    <w:p w14:paraId="50EBD6D7">
      <w:pPr>
        <w:pStyle w:val="14"/>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A183F0F">
      <w:pPr>
        <w:pStyle w:val="1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儿童健康测评系统项目</w:t>
      </w:r>
    </w:p>
    <w:p w14:paraId="6C9463D7">
      <w:pPr>
        <w:pStyle w:val="1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310251D3">
      <w:pPr>
        <w:pStyle w:val="1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13F7D631">
      <w:pPr>
        <w:pStyle w:val="1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671CD86A">
      <w:pPr>
        <w:pStyle w:val="1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AEC69D">
      <w:pPr>
        <w:pStyle w:val="1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65CDED71">
      <w:pPr>
        <w:pStyle w:val="1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1364D36B">
      <w:pPr>
        <w:pStyle w:val="14"/>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79B4DB09">
      <w:pPr>
        <w:pStyle w:val="14"/>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015B63C0">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06AF6349">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5D10BBEA">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14:paraId="7EE63D7D">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14:paraId="0F043C03">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778020B5">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6B9F4F8E">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14:paraId="2B119868">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14:paraId="5C09EE68">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5F1BA9F">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889E8D0">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27DAC902">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6AA384C7">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526191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07C3F1F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8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186"/>
        <w:gridCol w:w="1594"/>
        <w:gridCol w:w="1496"/>
      </w:tblGrid>
      <w:tr w14:paraId="4D8A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47B3FF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186" w:type="dxa"/>
            <w:tcBorders>
              <w:top w:val="single" w:color="auto" w:sz="4" w:space="0"/>
              <w:left w:val="single" w:color="auto" w:sz="4" w:space="0"/>
              <w:bottom w:val="single" w:color="auto" w:sz="4" w:space="0"/>
              <w:right w:val="single" w:color="auto" w:sz="4" w:space="0"/>
            </w:tcBorders>
            <w:vAlign w:val="center"/>
          </w:tcPr>
          <w:p w14:paraId="2BAAC37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594" w:type="dxa"/>
            <w:tcBorders>
              <w:top w:val="single" w:color="auto" w:sz="4" w:space="0"/>
              <w:left w:val="single" w:color="auto" w:sz="4" w:space="0"/>
              <w:bottom w:val="single" w:color="auto" w:sz="4" w:space="0"/>
              <w:right w:val="single" w:color="auto" w:sz="4" w:space="0"/>
            </w:tcBorders>
            <w:vAlign w:val="center"/>
          </w:tcPr>
          <w:p w14:paraId="3221E18A">
            <w:pPr>
              <w:keepNext w:val="0"/>
              <w:keepLines w:val="0"/>
              <w:suppressLineNumbers w:val="0"/>
              <w:spacing w:before="0" w:beforeAutospacing="0" w:after="0" w:afterAutospacing="0" w:line="360" w:lineRule="auto"/>
              <w:ind w:left="0" w:leftChars="0" w:right="0" w:rightChars="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c>
          <w:tcPr>
            <w:tcW w:w="1496" w:type="dxa"/>
            <w:tcBorders>
              <w:top w:val="single" w:color="auto" w:sz="4" w:space="0"/>
              <w:left w:val="single" w:color="auto" w:sz="4" w:space="0"/>
              <w:bottom w:val="single" w:color="auto" w:sz="4" w:space="0"/>
              <w:right w:val="single" w:color="auto" w:sz="4" w:space="0"/>
            </w:tcBorders>
            <w:vAlign w:val="center"/>
          </w:tcPr>
          <w:p w14:paraId="026CA977">
            <w:pPr>
              <w:keepNext w:val="0"/>
              <w:keepLines w:val="0"/>
              <w:suppressLineNumbers w:val="0"/>
              <w:spacing w:before="0" w:beforeAutospacing="0" w:after="0" w:afterAutospacing="0" w:line="360" w:lineRule="auto"/>
              <w:ind w:left="0" w:leftChars="0" w:right="0" w:rightChars="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r>
      <w:tr w14:paraId="3FB6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2E480D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186" w:type="dxa"/>
            <w:tcBorders>
              <w:top w:val="single" w:color="auto" w:sz="4" w:space="0"/>
              <w:left w:val="single" w:color="auto" w:sz="4" w:space="0"/>
              <w:bottom w:val="single" w:color="auto" w:sz="4" w:space="0"/>
              <w:right w:val="single" w:color="auto" w:sz="4" w:space="0"/>
            </w:tcBorders>
            <w:vAlign w:val="center"/>
          </w:tcPr>
          <w:p w14:paraId="17AEBFC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儿童健康测评系统</w:t>
            </w:r>
          </w:p>
        </w:tc>
        <w:tc>
          <w:tcPr>
            <w:tcW w:w="1594" w:type="dxa"/>
            <w:tcBorders>
              <w:top w:val="single" w:color="auto" w:sz="4" w:space="0"/>
              <w:left w:val="single" w:color="auto" w:sz="4" w:space="0"/>
              <w:bottom w:val="single" w:color="auto" w:sz="4" w:space="0"/>
              <w:right w:val="single" w:color="auto" w:sz="4" w:space="0"/>
            </w:tcBorders>
            <w:vAlign w:val="center"/>
          </w:tcPr>
          <w:p w14:paraId="7FE088B1">
            <w:pPr>
              <w:keepNext w:val="0"/>
              <w:keepLines w:val="0"/>
              <w:suppressLineNumbers w:val="0"/>
              <w:spacing w:before="0" w:beforeAutospacing="0" w:after="0" w:afterAutospacing="0" w:line="360" w:lineRule="auto"/>
              <w:ind w:left="0" w:leftChars="0" w:right="0" w:rightChars="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7.38万元</w:t>
            </w:r>
          </w:p>
        </w:tc>
        <w:tc>
          <w:tcPr>
            <w:tcW w:w="1496" w:type="dxa"/>
            <w:tcBorders>
              <w:top w:val="single" w:color="auto" w:sz="4" w:space="0"/>
              <w:left w:val="single" w:color="auto" w:sz="4" w:space="0"/>
              <w:bottom w:val="single" w:color="auto" w:sz="4" w:space="0"/>
              <w:right w:val="single" w:color="auto" w:sz="4" w:space="0"/>
            </w:tcBorders>
            <w:vAlign w:val="center"/>
          </w:tcPr>
          <w:p w14:paraId="7DE58A77">
            <w:pPr>
              <w:keepNext w:val="0"/>
              <w:keepLines w:val="0"/>
              <w:suppressLineNumbers w:val="0"/>
              <w:spacing w:before="0" w:beforeAutospacing="0" w:after="0" w:afterAutospacing="0" w:line="360" w:lineRule="auto"/>
              <w:ind w:left="0" w:leftChars="0" w:right="0" w:rightChars="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3年</w:t>
            </w:r>
          </w:p>
        </w:tc>
      </w:tr>
    </w:tbl>
    <w:p w14:paraId="052107C1">
      <w:pPr>
        <w:spacing w:line="360" w:lineRule="auto"/>
        <w:rPr>
          <w:rFonts w:hint="default" w:ascii="仿宋_GB2312" w:hAnsi="Times New Roman" w:eastAsia="仿宋_GB2312" w:cs="仿宋_GB2312"/>
          <w:bCs/>
          <w:color w:val="auto"/>
          <w:kern w:val="0"/>
          <w:sz w:val="28"/>
          <w:szCs w:val="28"/>
          <w:lang w:val="en-US" w:eastAsia="zh-CN" w:bidi="ar-SA"/>
        </w:rPr>
      </w:pPr>
    </w:p>
    <w:p w14:paraId="4ED38B9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55434F0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19B6CD23">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6CBC0B9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（一）技术参数</w:t>
      </w:r>
    </w:p>
    <w:p w14:paraId="20B24D6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1、乙方提供儿童健康管理系统软件及技术服务，服务期限</w:t>
      </w: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年</w:t>
      </w:r>
      <w:bookmarkStart w:id="4" w:name="_GoBack"/>
      <w:bookmarkEnd w:id="4"/>
      <w:r>
        <w:rPr>
          <w:rFonts w:hint="eastAsia" w:ascii="仿宋_GB2312" w:hAnsi="Times New Roman" w:eastAsia="仿宋_GB2312" w:cs="仿宋_GB2312"/>
          <w:bCs/>
          <w:color w:val="auto"/>
          <w:kern w:val="0"/>
          <w:sz w:val="28"/>
          <w:szCs w:val="28"/>
          <w:lang w:val="en-US" w:eastAsia="zh-CN" w:bidi="ar-SA"/>
        </w:rPr>
        <w:t>。乙方提供儿童健康测评系统软件的基础版全部功能，及专业版的部分功能（见附件清单）供甲方使用。</w:t>
      </w:r>
    </w:p>
    <w:p w14:paraId="5FFFD0D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 乙方为甲方提供儿童健康管理系统账号和密码，不限制甲方使用软件系统的IP地址和使用电脑数量。</w:t>
      </w:r>
    </w:p>
    <w:p w14:paraId="0014D3B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 确保甲方能下载或为甲方下载儿童健康管理系统报告等相关数据。</w:t>
      </w:r>
    </w:p>
    <w:p w14:paraId="27280A5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 乙方负责对甲方的工作人员进行免费培训。</w:t>
      </w:r>
    </w:p>
    <w:p w14:paraId="1E6CB07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 本协议期限届满时，无条件导出甲方在使用该软件系统过程中产生的全部数据并提供给甲方储存。</w:t>
      </w:r>
    </w:p>
    <w:p w14:paraId="0B277F3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二</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商务参数</w:t>
      </w:r>
    </w:p>
    <w:p w14:paraId="204D183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合同签订之日起30日内甲方向乙方一次性支付所有价款。</w:t>
      </w:r>
    </w:p>
    <w:p w14:paraId="43FF14F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附件一：</w:t>
      </w:r>
    </w:p>
    <w:p w14:paraId="121426F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儿童健康测评系统基础版内容</w:t>
      </w:r>
    </w:p>
    <w:tbl>
      <w:tblPr>
        <w:tblStyle w:val="11"/>
        <w:tblW w:w="0" w:type="auto"/>
        <w:tblInd w:w="93" w:type="dxa"/>
        <w:tblLayout w:type="fixed"/>
        <w:tblCellMar>
          <w:top w:w="0" w:type="dxa"/>
          <w:left w:w="108" w:type="dxa"/>
          <w:bottom w:w="0" w:type="dxa"/>
          <w:right w:w="108" w:type="dxa"/>
        </w:tblCellMar>
      </w:tblPr>
      <w:tblGrid>
        <w:gridCol w:w="995"/>
        <w:gridCol w:w="2813"/>
        <w:gridCol w:w="4537"/>
        <w:gridCol w:w="1213"/>
      </w:tblGrid>
      <w:tr w14:paraId="6080FE62">
        <w:tblPrEx>
          <w:tblCellMar>
            <w:top w:w="0" w:type="dxa"/>
            <w:left w:w="108" w:type="dxa"/>
            <w:bottom w:w="0" w:type="dxa"/>
            <w:right w:w="108" w:type="dxa"/>
          </w:tblCellMar>
        </w:tblPrEx>
        <w:trPr>
          <w:trHeight w:val="270" w:hRule="atLeast"/>
        </w:trPr>
        <w:tc>
          <w:tcPr>
            <w:tcW w:w="995" w:type="dxa"/>
            <w:tcBorders>
              <w:top w:val="single" w:color="auto" w:sz="4" w:space="0"/>
              <w:left w:val="single" w:color="auto" w:sz="4" w:space="0"/>
              <w:bottom w:val="single" w:color="auto" w:sz="4" w:space="0"/>
              <w:right w:val="single" w:color="auto" w:sz="4" w:space="0"/>
            </w:tcBorders>
            <w:noWrap w:val="0"/>
            <w:vAlign w:val="top"/>
          </w:tcPr>
          <w:p w14:paraId="2410748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序号</w:t>
            </w:r>
          </w:p>
        </w:tc>
        <w:tc>
          <w:tcPr>
            <w:tcW w:w="2813" w:type="dxa"/>
            <w:tcBorders>
              <w:top w:val="single" w:color="auto" w:sz="4" w:space="0"/>
              <w:left w:val="single" w:color="auto" w:sz="4" w:space="0"/>
              <w:bottom w:val="single" w:color="auto" w:sz="4" w:space="0"/>
              <w:right w:val="single" w:color="auto" w:sz="4" w:space="0"/>
            </w:tcBorders>
            <w:noWrap w:val="0"/>
            <w:vAlign w:val="center"/>
          </w:tcPr>
          <w:p w14:paraId="120FB145">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类   别</w:t>
            </w:r>
          </w:p>
        </w:tc>
        <w:tc>
          <w:tcPr>
            <w:tcW w:w="4537" w:type="dxa"/>
            <w:tcBorders>
              <w:top w:val="single" w:color="auto" w:sz="4" w:space="0"/>
              <w:left w:val="nil"/>
              <w:bottom w:val="single" w:color="auto" w:sz="4" w:space="0"/>
              <w:right w:val="single" w:color="auto" w:sz="4" w:space="0"/>
            </w:tcBorders>
            <w:noWrap w:val="0"/>
            <w:vAlign w:val="center"/>
          </w:tcPr>
          <w:p w14:paraId="75713FB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名  称</w:t>
            </w:r>
          </w:p>
        </w:tc>
        <w:tc>
          <w:tcPr>
            <w:tcW w:w="1213" w:type="dxa"/>
            <w:tcBorders>
              <w:top w:val="single" w:color="auto" w:sz="4" w:space="0"/>
              <w:left w:val="nil"/>
              <w:bottom w:val="single" w:color="auto" w:sz="4" w:space="0"/>
              <w:right w:val="single" w:color="auto" w:sz="4" w:space="0"/>
            </w:tcBorders>
            <w:noWrap w:val="0"/>
            <w:vAlign w:val="center"/>
          </w:tcPr>
          <w:p w14:paraId="4923DE4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备注</w:t>
            </w:r>
          </w:p>
        </w:tc>
      </w:tr>
      <w:tr w14:paraId="63F7D26C">
        <w:tblPrEx>
          <w:tblCellMar>
            <w:top w:w="0" w:type="dxa"/>
            <w:left w:w="108" w:type="dxa"/>
            <w:bottom w:w="0" w:type="dxa"/>
            <w:right w:w="108" w:type="dxa"/>
          </w:tblCellMar>
        </w:tblPrEx>
        <w:trPr>
          <w:trHeight w:val="80" w:hRule="atLeast"/>
        </w:trPr>
        <w:tc>
          <w:tcPr>
            <w:tcW w:w="995" w:type="dxa"/>
            <w:tcBorders>
              <w:top w:val="single" w:color="auto" w:sz="4" w:space="0"/>
              <w:left w:val="single" w:color="auto" w:sz="4" w:space="0"/>
              <w:right w:val="single" w:color="auto" w:sz="4" w:space="0"/>
            </w:tcBorders>
            <w:noWrap w:val="0"/>
            <w:vAlign w:val="top"/>
          </w:tcPr>
          <w:p w14:paraId="383B61C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p>
        </w:tc>
        <w:tc>
          <w:tcPr>
            <w:tcW w:w="2813" w:type="dxa"/>
            <w:vMerge w:val="restart"/>
            <w:tcBorders>
              <w:top w:val="single" w:color="auto" w:sz="4" w:space="0"/>
              <w:left w:val="single" w:color="auto" w:sz="4" w:space="0"/>
              <w:right w:val="single" w:color="auto" w:sz="4" w:space="0"/>
            </w:tcBorders>
            <w:noWrap w:val="0"/>
            <w:vAlign w:val="center"/>
          </w:tcPr>
          <w:p w14:paraId="027117B1">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儿童体格生长测评</w:t>
            </w:r>
          </w:p>
        </w:tc>
        <w:tc>
          <w:tcPr>
            <w:tcW w:w="4537" w:type="dxa"/>
            <w:tcBorders>
              <w:top w:val="nil"/>
              <w:left w:val="nil"/>
              <w:bottom w:val="single" w:color="auto" w:sz="4" w:space="0"/>
              <w:right w:val="single" w:color="auto" w:sz="4" w:space="0"/>
            </w:tcBorders>
            <w:noWrap w:val="0"/>
            <w:vAlign w:val="center"/>
          </w:tcPr>
          <w:p w14:paraId="7575CE6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儿童体格生长测评</w:t>
            </w:r>
          </w:p>
        </w:tc>
        <w:tc>
          <w:tcPr>
            <w:tcW w:w="1213" w:type="dxa"/>
            <w:tcBorders>
              <w:top w:val="nil"/>
              <w:left w:val="nil"/>
              <w:bottom w:val="single" w:color="auto" w:sz="4" w:space="0"/>
              <w:right w:val="single" w:color="auto" w:sz="4" w:space="0"/>
            </w:tcBorders>
            <w:noWrap w:val="0"/>
            <w:vAlign w:val="center"/>
          </w:tcPr>
          <w:p w14:paraId="3A6F42E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2E1FB143">
        <w:tblPrEx>
          <w:tblCellMar>
            <w:top w:w="0" w:type="dxa"/>
            <w:left w:w="108" w:type="dxa"/>
            <w:bottom w:w="0" w:type="dxa"/>
            <w:right w:w="108" w:type="dxa"/>
          </w:tblCellMar>
        </w:tblPrEx>
        <w:trPr>
          <w:trHeight w:val="80" w:hRule="atLeast"/>
        </w:trPr>
        <w:tc>
          <w:tcPr>
            <w:tcW w:w="995" w:type="dxa"/>
            <w:tcBorders>
              <w:left w:val="single" w:color="auto" w:sz="4" w:space="0"/>
              <w:bottom w:val="single" w:color="auto" w:sz="4" w:space="0"/>
              <w:right w:val="single" w:color="auto" w:sz="4" w:space="0"/>
            </w:tcBorders>
            <w:noWrap w:val="0"/>
            <w:vAlign w:val="top"/>
          </w:tcPr>
          <w:p w14:paraId="6B0410D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3C5BBDE3">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2EA2C02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早产儿体格生长测评</w:t>
            </w:r>
          </w:p>
        </w:tc>
        <w:tc>
          <w:tcPr>
            <w:tcW w:w="1213" w:type="dxa"/>
            <w:tcBorders>
              <w:top w:val="nil"/>
              <w:left w:val="nil"/>
              <w:bottom w:val="single" w:color="auto" w:sz="4" w:space="0"/>
              <w:right w:val="single" w:color="auto" w:sz="4" w:space="0"/>
            </w:tcBorders>
            <w:noWrap w:val="0"/>
            <w:vAlign w:val="center"/>
          </w:tcPr>
          <w:p w14:paraId="34F9868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43281280">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123D21E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p>
        </w:tc>
        <w:tc>
          <w:tcPr>
            <w:tcW w:w="2813" w:type="dxa"/>
            <w:vMerge w:val="restart"/>
            <w:tcBorders>
              <w:top w:val="nil"/>
              <w:left w:val="single" w:color="auto" w:sz="4" w:space="0"/>
              <w:right w:val="single" w:color="auto" w:sz="4" w:space="0"/>
            </w:tcBorders>
            <w:noWrap w:val="0"/>
            <w:vAlign w:val="center"/>
          </w:tcPr>
          <w:p w14:paraId="2D9C432A">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新生儿测评</w:t>
            </w:r>
          </w:p>
        </w:tc>
        <w:tc>
          <w:tcPr>
            <w:tcW w:w="4537" w:type="dxa"/>
            <w:tcBorders>
              <w:top w:val="nil"/>
              <w:left w:val="nil"/>
              <w:bottom w:val="single" w:color="auto" w:sz="4" w:space="0"/>
              <w:right w:val="single" w:color="auto" w:sz="4" w:space="0"/>
            </w:tcBorders>
            <w:noWrap w:val="0"/>
            <w:vAlign w:val="center"/>
          </w:tcPr>
          <w:p w14:paraId="1D1EC27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APGAR 新生儿评分</w:t>
            </w:r>
          </w:p>
        </w:tc>
        <w:tc>
          <w:tcPr>
            <w:tcW w:w="1213" w:type="dxa"/>
            <w:tcBorders>
              <w:top w:val="nil"/>
              <w:left w:val="nil"/>
              <w:bottom w:val="single" w:color="auto" w:sz="4" w:space="0"/>
              <w:right w:val="single" w:color="auto" w:sz="4" w:space="0"/>
            </w:tcBorders>
            <w:noWrap w:val="0"/>
            <w:vAlign w:val="center"/>
          </w:tcPr>
          <w:p w14:paraId="2187255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810A3F3">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2E3E8ED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0272CE86">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4561B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新生儿胎龄评估</w:t>
            </w:r>
          </w:p>
        </w:tc>
        <w:tc>
          <w:tcPr>
            <w:tcW w:w="1213" w:type="dxa"/>
            <w:tcBorders>
              <w:top w:val="nil"/>
              <w:left w:val="nil"/>
              <w:bottom w:val="single" w:color="auto" w:sz="4" w:space="0"/>
              <w:right w:val="single" w:color="auto" w:sz="4" w:space="0"/>
            </w:tcBorders>
            <w:noWrap w:val="0"/>
            <w:vAlign w:val="center"/>
          </w:tcPr>
          <w:p w14:paraId="5A258A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6FDA2F11">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37A7AB4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2C8E59E3">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27DEA33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新生儿20项行为神经评分法（NBNA）</w:t>
            </w:r>
          </w:p>
        </w:tc>
        <w:tc>
          <w:tcPr>
            <w:tcW w:w="1213" w:type="dxa"/>
            <w:tcBorders>
              <w:top w:val="nil"/>
              <w:left w:val="nil"/>
              <w:bottom w:val="single" w:color="auto" w:sz="4" w:space="0"/>
              <w:right w:val="single" w:color="auto" w:sz="4" w:space="0"/>
            </w:tcBorders>
            <w:noWrap w:val="0"/>
            <w:vAlign w:val="center"/>
          </w:tcPr>
          <w:p w14:paraId="4535EB8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40775020">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5969CAC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p>
        </w:tc>
        <w:tc>
          <w:tcPr>
            <w:tcW w:w="2813" w:type="dxa"/>
            <w:vMerge w:val="restart"/>
            <w:tcBorders>
              <w:top w:val="nil"/>
              <w:left w:val="single" w:color="auto" w:sz="4" w:space="0"/>
              <w:right w:val="single" w:color="auto" w:sz="4" w:space="0"/>
            </w:tcBorders>
            <w:noWrap w:val="0"/>
            <w:vAlign w:val="center"/>
          </w:tcPr>
          <w:p w14:paraId="5405BABB">
            <w:pPr>
              <w:spacing w:line="360" w:lineRule="auto"/>
              <w:jc w:val="center"/>
              <w:rPr>
                <w:rFonts w:hint="eastAsia" w:ascii="仿宋_GB2312" w:hAnsi="Times New Roman" w:eastAsia="仿宋_GB2312" w:cs="仿宋_GB2312"/>
                <w:bCs/>
                <w:color w:val="auto"/>
                <w:kern w:val="0"/>
                <w:sz w:val="28"/>
                <w:szCs w:val="28"/>
                <w:lang w:val="en-US" w:eastAsia="zh-CN" w:bidi="ar-SA"/>
              </w:rPr>
            </w:pPr>
          </w:p>
          <w:p w14:paraId="6D105057">
            <w:pPr>
              <w:spacing w:line="360" w:lineRule="auto"/>
              <w:jc w:val="center"/>
              <w:rPr>
                <w:rFonts w:hint="eastAsia" w:ascii="仿宋_GB2312" w:hAnsi="Times New Roman" w:eastAsia="仿宋_GB2312" w:cs="仿宋_GB2312"/>
                <w:bCs/>
                <w:color w:val="auto"/>
                <w:kern w:val="0"/>
                <w:sz w:val="28"/>
                <w:szCs w:val="28"/>
                <w:lang w:val="en-US" w:eastAsia="zh-CN" w:bidi="ar-SA"/>
              </w:rPr>
            </w:pPr>
          </w:p>
          <w:p w14:paraId="14C4023E">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儿童营养喂养测评</w:t>
            </w:r>
          </w:p>
          <w:p w14:paraId="4F18A4FF">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p w14:paraId="449EF32F">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B627DE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早产儿营养风险程度评估</w:t>
            </w:r>
          </w:p>
        </w:tc>
        <w:tc>
          <w:tcPr>
            <w:tcW w:w="1213" w:type="dxa"/>
            <w:tcBorders>
              <w:top w:val="nil"/>
              <w:left w:val="nil"/>
              <w:bottom w:val="single" w:color="auto" w:sz="4" w:space="0"/>
              <w:right w:val="single" w:color="auto" w:sz="4" w:space="0"/>
            </w:tcBorders>
            <w:noWrap w:val="0"/>
            <w:vAlign w:val="center"/>
          </w:tcPr>
          <w:p w14:paraId="28882F5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8D0F357">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18EB4B5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33DCB22D">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435FF5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婴儿过敏风险评估表</w:t>
            </w:r>
          </w:p>
        </w:tc>
        <w:tc>
          <w:tcPr>
            <w:tcW w:w="1213" w:type="dxa"/>
            <w:tcBorders>
              <w:top w:val="nil"/>
              <w:left w:val="nil"/>
              <w:bottom w:val="single" w:color="auto" w:sz="4" w:space="0"/>
              <w:right w:val="single" w:color="auto" w:sz="4" w:space="0"/>
            </w:tcBorders>
            <w:noWrap w:val="0"/>
            <w:vAlign w:val="center"/>
          </w:tcPr>
          <w:p w14:paraId="594AA2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4E116FC4">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3E30DA0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2E884AF3">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64004C9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STRONGKids营养状况和生长风险筛查量表</w:t>
            </w:r>
          </w:p>
        </w:tc>
        <w:tc>
          <w:tcPr>
            <w:tcW w:w="1213" w:type="dxa"/>
            <w:tcBorders>
              <w:top w:val="nil"/>
              <w:left w:val="nil"/>
              <w:bottom w:val="single" w:color="auto" w:sz="4" w:space="0"/>
              <w:right w:val="single" w:color="auto" w:sz="4" w:space="0"/>
            </w:tcBorders>
            <w:noWrap w:val="0"/>
            <w:vAlign w:val="center"/>
          </w:tcPr>
          <w:p w14:paraId="0A36B1E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92373CB">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3DCB5A1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03CA0443">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201F990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STAMP儿科营养不良评估筛查</w:t>
            </w:r>
          </w:p>
        </w:tc>
        <w:tc>
          <w:tcPr>
            <w:tcW w:w="1213" w:type="dxa"/>
            <w:tcBorders>
              <w:top w:val="nil"/>
              <w:left w:val="nil"/>
              <w:bottom w:val="single" w:color="auto" w:sz="4" w:space="0"/>
              <w:right w:val="single" w:color="auto" w:sz="4" w:space="0"/>
            </w:tcBorders>
            <w:noWrap w:val="0"/>
            <w:vAlign w:val="center"/>
          </w:tcPr>
          <w:p w14:paraId="36D8263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2B72AA23">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58FC26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w:t>
            </w:r>
          </w:p>
        </w:tc>
        <w:tc>
          <w:tcPr>
            <w:tcW w:w="2813" w:type="dxa"/>
            <w:vMerge w:val="restart"/>
            <w:tcBorders>
              <w:top w:val="nil"/>
              <w:left w:val="single" w:color="auto" w:sz="4" w:space="0"/>
              <w:right w:val="single" w:color="auto" w:sz="4" w:space="0"/>
            </w:tcBorders>
            <w:noWrap w:val="0"/>
            <w:vAlign w:val="center"/>
          </w:tcPr>
          <w:p w14:paraId="056CE92A">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儿童运动测评</w:t>
            </w:r>
          </w:p>
          <w:p w14:paraId="07EA305D">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6E8A94C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0~1岁神经运动检查20项（INMA)</w:t>
            </w:r>
          </w:p>
        </w:tc>
        <w:tc>
          <w:tcPr>
            <w:tcW w:w="1213" w:type="dxa"/>
            <w:tcBorders>
              <w:top w:val="nil"/>
              <w:left w:val="nil"/>
              <w:bottom w:val="single" w:color="auto" w:sz="4" w:space="0"/>
              <w:right w:val="single" w:color="auto" w:sz="4" w:space="0"/>
            </w:tcBorders>
            <w:noWrap w:val="0"/>
            <w:vAlign w:val="center"/>
          </w:tcPr>
          <w:p w14:paraId="0EE417E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5BF88A94">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6C9BE01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57A7C2B5">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1A2209D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ALBERTA婴儿运动量表</w:t>
            </w:r>
          </w:p>
        </w:tc>
        <w:tc>
          <w:tcPr>
            <w:tcW w:w="1213" w:type="dxa"/>
            <w:tcBorders>
              <w:top w:val="nil"/>
              <w:left w:val="nil"/>
              <w:bottom w:val="single" w:color="auto" w:sz="4" w:space="0"/>
              <w:right w:val="single" w:color="auto" w:sz="4" w:space="0"/>
            </w:tcBorders>
            <w:noWrap w:val="0"/>
            <w:vAlign w:val="center"/>
          </w:tcPr>
          <w:p w14:paraId="7556FE6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3BF44331">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07CECE4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w:t>
            </w:r>
          </w:p>
        </w:tc>
        <w:tc>
          <w:tcPr>
            <w:tcW w:w="2813" w:type="dxa"/>
            <w:vMerge w:val="restart"/>
            <w:tcBorders>
              <w:top w:val="nil"/>
              <w:left w:val="single" w:color="auto" w:sz="4" w:space="0"/>
              <w:right w:val="single" w:color="auto" w:sz="4" w:space="0"/>
            </w:tcBorders>
            <w:noWrap w:val="0"/>
            <w:vAlign w:val="center"/>
          </w:tcPr>
          <w:p w14:paraId="1155FB0B">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儿童发育筛查测评</w:t>
            </w:r>
          </w:p>
          <w:p w14:paraId="770A0E5F">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p w14:paraId="3AF3F887">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389AFE6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0~3岁儿童心理行为发育问题预警征象</w:t>
            </w:r>
          </w:p>
        </w:tc>
        <w:tc>
          <w:tcPr>
            <w:tcW w:w="1213" w:type="dxa"/>
            <w:tcBorders>
              <w:top w:val="nil"/>
              <w:left w:val="nil"/>
              <w:bottom w:val="single" w:color="auto" w:sz="4" w:space="0"/>
              <w:right w:val="single" w:color="auto" w:sz="4" w:space="0"/>
            </w:tcBorders>
            <w:noWrap w:val="0"/>
            <w:vAlign w:val="center"/>
          </w:tcPr>
          <w:p w14:paraId="098B71C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3DAA6045">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46CE3F1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02D37F31">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02A8B38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DDST丹佛发育筛查</w:t>
            </w:r>
          </w:p>
        </w:tc>
        <w:tc>
          <w:tcPr>
            <w:tcW w:w="1213" w:type="dxa"/>
            <w:tcBorders>
              <w:top w:val="nil"/>
              <w:left w:val="nil"/>
              <w:bottom w:val="single" w:color="auto" w:sz="4" w:space="0"/>
              <w:right w:val="single" w:color="auto" w:sz="4" w:space="0"/>
            </w:tcBorders>
            <w:noWrap w:val="0"/>
            <w:vAlign w:val="center"/>
          </w:tcPr>
          <w:p w14:paraId="4D80297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D734B86">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57B4B20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4AA2B968">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3CD1A2B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联合型瑞文测验</w:t>
            </w:r>
          </w:p>
        </w:tc>
        <w:tc>
          <w:tcPr>
            <w:tcW w:w="1213" w:type="dxa"/>
            <w:tcBorders>
              <w:top w:val="nil"/>
              <w:left w:val="nil"/>
              <w:bottom w:val="single" w:color="auto" w:sz="4" w:space="0"/>
              <w:right w:val="single" w:color="auto" w:sz="4" w:space="0"/>
            </w:tcBorders>
            <w:noWrap w:val="0"/>
            <w:vAlign w:val="center"/>
          </w:tcPr>
          <w:p w14:paraId="138D4F5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2DADDF02">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0BFCAB1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w:t>
            </w:r>
          </w:p>
        </w:tc>
        <w:tc>
          <w:tcPr>
            <w:tcW w:w="2813" w:type="dxa"/>
            <w:vMerge w:val="restart"/>
            <w:tcBorders>
              <w:top w:val="nil"/>
              <w:left w:val="single" w:color="auto" w:sz="4" w:space="0"/>
              <w:right w:val="single" w:color="auto" w:sz="4" w:space="0"/>
            </w:tcBorders>
            <w:noWrap w:val="0"/>
            <w:vAlign w:val="center"/>
          </w:tcPr>
          <w:p w14:paraId="1E9E0453">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儿童行为测评</w:t>
            </w:r>
          </w:p>
        </w:tc>
        <w:tc>
          <w:tcPr>
            <w:tcW w:w="4537" w:type="dxa"/>
            <w:tcBorders>
              <w:top w:val="nil"/>
              <w:left w:val="nil"/>
              <w:bottom w:val="single" w:color="auto" w:sz="4" w:space="0"/>
              <w:right w:val="single" w:color="auto" w:sz="4" w:space="0"/>
            </w:tcBorders>
            <w:noWrap w:val="0"/>
            <w:vAlign w:val="center"/>
          </w:tcPr>
          <w:p w14:paraId="79693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conners父母症状问卷（conners）</w:t>
            </w:r>
          </w:p>
        </w:tc>
        <w:tc>
          <w:tcPr>
            <w:tcW w:w="1213" w:type="dxa"/>
            <w:tcBorders>
              <w:top w:val="nil"/>
              <w:left w:val="nil"/>
              <w:bottom w:val="single" w:color="auto" w:sz="4" w:space="0"/>
              <w:right w:val="single" w:color="auto" w:sz="4" w:space="0"/>
            </w:tcBorders>
            <w:noWrap w:val="0"/>
            <w:vAlign w:val="center"/>
          </w:tcPr>
          <w:p w14:paraId="5AE271A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6FAAD87A">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253229C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509D4F93">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658355B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conners教师症状问卷（conners）</w:t>
            </w:r>
          </w:p>
        </w:tc>
        <w:tc>
          <w:tcPr>
            <w:tcW w:w="1213" w:type="dxa"/>
            <w:tcBorders>
              <w:top w:val="nil"/>
              <w:left w:val="nil"/>
              <w:bottom w:val="single" w:color="auto" w:sz="4" w:space="0"/>
              <w:right w:val="single" w:color="auto" w:sz="4" w:space="0"/>
            </w:tcBorders>
            <w:noWrap w:val="0"/>
            <w:vAlign w:val="center"/>
          </w:tcPr>
          <w:p w14:paraId="2C8C350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28851E1">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28674E3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79B70C7E">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5C1A716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儿科症状核查表</w:t>
            </w:r>
          </w:p>
        </w:tc>
        <w:tc>
          <w:tcPr>
            <w:tcW w:w="1213" w:type="dxa"/>
            <w:tcBorders>
              <w:top w:val="nil"/>
              <w:left w:val="nil"/>
              <w:bottom w:val="single" w:color="auto" w:sz="4" w:space="0"/>
              <w:right w:val="single" w:color="auto" w:sz="4" w:space="0"/>
            </w:tcBorders>
            <w:noWrap w:val="0"/>
            <w:vAlign w:val="center"/>
          </w:tcPr>
          <w:p w14:paraId="13E362C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1D017117">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0308804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w:t>
            </w:r>
          </w:p>
        </w:tc>
        <w:tc>
          <w:tcPr>
            <w:tcW w:w="2813" w:type="dxa"/>
            <w:vMerge w:val="restart"/>
            <w:tcBorders>
              <w:top w:val="nil"/>
              <w:left w:val="single" w:color="auto" w:sz="4" w:space="0"/>
              <w:right w:val="single" w:color="auto" w:sz="4" w:space="0"/>
            </w:tcBorders>
            <w:noWrap w:val="0"/>
            <w:vAlign w:val="center"/>
          </w:tcPr>
          <w:p w14:paraId="10F350E8">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儿童注意力缺陷测评</w:t>
            </w:r>
          </w:p>
          <w:p w14:paraId="2BE6CD31">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p w14:paraId="317C53A9">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07DB0B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NICHQ范德比尔特儿童行为评定量表（父母版）</w:t>
            </w:r>
          </w:p>
        </w:tc>
        <w:tc>
          <w:tcPr>
            <w:tcW w:w="1213" w:type="dxa"/>
            <w:tcBorders>
              <w:top w:val="nil"/>
              <w:left w:val="nil"/>
              <w:bottom w:val="single" w:color="auto" w:sz="4" w:space="0"/>
              <w:right w:val="single" w:color="auto" w:sz="4" w:space="0"/>
            </w:tcBorders>
            <w:noWrap w:val="0"/>
            <w:vAlign w:val="center"/>
          </w:tcPr>
          <w:p w14:paraId="41D4099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21669212">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7A20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13989EC4">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29A312C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NICHQ范德比尔特儿童行为随访量表（父母版）</w:t>
            </w:r>
          </w:p>
        </w:tc>
        <w:tc>
          <w:tcPr>
            <w:tcW w:w="1213" w:type="dxa"/>
            <w:tcBorders>
              <w:top w:val="nil"/>
              <w:left w:val="nil"/>
              <w:bottom w:val="single" w:color="auto" w:sz="4" w:space="0"/>
              <w:right w:val="single" w:color="auto" w:sz="4" w:space="0"/>
            </w:tcBorders>
            <w:noWrap w:val="0"/>
            <w:vAlign w:val="center"/>
          </w:tcPr>
          <w:p w14:paraId="7454E02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1308F7A1">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7F7F85C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3A9F7D65">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D29D33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多动症评定量表（SNAP-Ⅳ26项）</w:t>
            </w:r>
          </w:p>
        </w:tc>
        <w:tc>
          <w:tcPr>
            <w:tcW w:w="1213" w:type="dxa"/>
            <w:tcBorders>
              <w:top w:val="nil"/>
              <w:left w:val="nil"/>
              <w:bottom w:val="single" w:color="auto" w:sz="4" w:space="0"/>
              <w:right w:val="single" w:color="auto" w:sz="4" w:space="0"/>
            </w:tcBorders>
            <w:noWrap w:val="0"/>
            <w:vAlign w:val="center"/>
          </w:tcPr>
          <w:p w14:paraId="1BBF2B4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7A224375">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1E6982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220BC1DF">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2351027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多动症评定量表（SNAP-Ⅳ18项）</w:t>
            </w:r>
          </w:p>
        </w:tc>
        <w:tc>
          <w:tcPr>
            <w:tcW w:w="1213" w:type="dxa"/>
            <w:tcBorders>
              <w:top w:val="nil"/>
              <w:left w:val="nil"/>
              <w:bottom w:val="single" w:color="auto" w:sz="4" w:space="0"/>
              <w:right w:val="single" w:color="auto" w:sz="4" w:space="0"/>
            </w:tcBorders>
            <w:noWrap w:val="0"/>
            <w:vAlign w:val="center"/>
          </w:tcPr>
          <w:p w14:paraId="2CE0C9C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10E55C4E">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328938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39B47475">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7EDD500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ADHD诊断量表父母版</w:t>
            </w:r>
          </w:p>
        </w:tc>
        <w:tc>
          <w:tcPr>
            <w:tcW w:w="1213" w:type="dxa"/>
            <w:tcBorders>
              <w:top w:val="nil"/>
              <w:left w:val="nil"/>
              <w:bottom w:val="single" w:color="auto" w:sz="4" w:space="0"/>
              <w:right w:val="single" w:color="auto" w:sz="4" w:space="0"/>
            </w:tcBorders>
            <w:noWrap w:val="0"/>
            <w:vAlign w:val="center"/>
          </w:tcPr>
          <w:p w14:paraId="6E9B406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734FAF7B">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73A2557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5995944A">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4ECC6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QCD量表</w:t>
            </w:r>
          </w:p>
        </w:tc>
        <w:tc>
          <w:tcPr>
            <w:tcW w:w="1213" w:type="dxa"/>
            <w:tcBorders>
              <w:top w:val="nil"/>
              <w:left w:val="nil"/>
              <w:bottom w:val="single" w:color="auto" w:sz="4" w:space="0"/>
              <w:right w:val="single" w:color="auto" w:sz="4" w:space="0"/>
            </w:tcBorders>
            <w:noWrap w:val="0"/>
            <w:vAlign w:val="center"/>
          </w:tcPr>
          <w:p w14:paraId="2829E8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7635DFE">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356E357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2080F525">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E7AC91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Weiss功能缺陷量表（父母版）</w:t>
            </w:r>
          </w:p>
        </w:tc>
        <w:tc>
          <w:tcPr>
            <w:tcW w:w="1213" w:type="dxa"/>
            <w:tcBorders>
              <w:top w:val="nil"/>
              <w:left w:val="nil"/>
              <w:bottom w:val="single" w:color="auto" w:sz="4" w:space="0"/>
              <w:right w:val="single" w:color="auto" w:sz="4" w:space="0"/>
            </w:tcBorders>
            <w:noWrap w:val="0"/>
            <w:vAlign w:val="center"/>
          </w:tcPr>
          <w:p w14:paraId="7BBD65F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6CC75444">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673CB37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w:t>
            </w:r>
          </w:p>
        </w:tc>
        <w:tc>
          <w:tcPr>
            <w:tcW w:w="2813" w:type="dxa"/>
            <w:vMerge w:val="restart"/>
            <w:tcBorders>
              <w:top w:val="nil"/>
              <w:left w:val="single" w:color="auto" w:sz="4" w:space="0"/>
              <w:right w:val="single" w:color="auto" w:sz="4" w:space="0"/>
            </w:tcBorders>
            <w:noWrap w:val="0"/>
            <w:vAlign w:val="center"/>
          </w:tcPr>
          <w:p w14:paraId="380D2E0C">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儿童自闭症测评</w:t>
            </w:r>
          </w:p>
        </w:tc>
        <w:tc>
          <w:tcPr>
            <w:tcW w:w="4537" w:type="dxa"/>
            <w:tcBorders>
              <w:top w:val="nil"/>
              <w:left w:val="nil"/>
              <w:bottom w:val="single" w:color="auto" w:sz="4" w:space="0"/>
              <w:right w:val="single" w:color="auto" w:sz="4" w:space="0"/>
            </w:tcBorders>
            <w:noWrap w:val="0"/>
            <w:vAlign w:val="center"/>
          </w:tcPr>
          <w:p w14:paraId="0F75C4D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孤独症行为评定量表（ABC量表）</w:t>
            </w:r>
          </w:p>
        </w:tc>
        <w:tc>
          <w:tcPr>
            <w:tcW w:w="1213" w:type="dxa"/>
            <w:tcBorders>
              <w:top w:val="nil"/>
              <w:left w:val="nil"/>
              <w:bottom w:val="single" w:color="auto" w:sz="4" w:space="0"/>
              <w:right w:val="single" w:color="auto" w:sz="4" w:space="0"/>
            </w:tcBorders>
            <w:noWrap w:val="0"/>
            <w:vAlign w:val="center"/>
          </w:tcPr>
          <w:p w14:paraId="3ABE46C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6FBE8792">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266B13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722A2680">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839D9C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CHAT幼儿孤独症筛查量表</w:t>
            </w:r>
          </w:p>
        </w:tc>
        <w:tc>
          <w:tcPr>
            <w:tcW w:w="1213" w:type="dxa"/>
            <w:tcBorders>
              <w:top w:val="nil"/>
              <w:left w:val="nil"/>
              <w:bottom w:val="single" w:color="auto" w:sz="4" w:space="0"/>
              <w:right w:val="single" w:color="auto" w:sz="4" w:space="0"/>
            </w:tcBorders>
            <w:noWrap w:val="0"/>
            <w:vAlign w:val="center"/>
          </w:tcPr>
          <w:p w14:paraId="0F164BA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6AB72CF6">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7CD6BCC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63BF5FB0">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229DEFF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儿童期孤独症评定量表(CARS)</w:t>
            </w:r>
          </w:p>
        </w:tc>
        <w:tc>
          <w:tcPr>
            <w:tcW w:w="1213" w:type="dxa"/>
            <w:tcBorders>
              <w:top w:val="nil"/>
              <w:left w:val="nil"/>
              <w:bottom w:val="single" w:color="auto" w:sz="4" w:space="0"/>
              <w:right w:val="single" w:color="auto" w:sz="4" w:space="0"/>
            </w:tcBorders>
            <w:noWrap w:val="0"/>
            <w:vAlign w:val="center"/>
          </w:tcPr>
          <w:p w14:paraId="36BBAB4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BF09867">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4044E62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7EC85C1B">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09733D8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CABS克氏自闭症行为量表</w:t>
            </w:r>
          </w:p>
        </w:tc>
        <w:tc>
          <w:tcPr>
            <w:tcW w:w="1213" w:type="dxa"/>
            <w:tcBorders>
              <w:top w:val="nil"/>
              <w:left w:val="nil"/>
              <w:bottom w:val="single" w:color="auto" w:sz="4" w:space="0"/>
              <w:right w:val="single" w:color="auto" w:sz="4" w:space="0"/>
            </w:tcBorders>
            <w:noWrap w:val="0"/>
            <w:vAlign w:val="center"/>
          </w:tcPr>
          <w:p w14:paraId="031C2C4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4AE976B3">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4778747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9</w:t>
            </w:r>
          </w:p>
        </w:tc>
        <w:tc>
          <w:tcPr>
            <w:tcW w:w="2813" w:type="dxa"/>
            <w:vMerge w:val="restart"/>
            <w:tcBorders>
              <w:top w:val="nil"/>
              <w:left w:val="single" w:color="auto" w:sz="4" w:space="0"/>
              <w:right w:val="single" w:color="auto" w:sz="4" w:space="0"/>
            </w:tcBorders>
            <w:noWrap w:val="0"/>
            <w:vAlign w:val="center"/>
          </w:tcPr>
          <w:p w14:paraId="17CD10EB">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儿童抽动症测评</w:t>
            </w:r>
          </w:p>
          <w:p w14:paraId="743CE07A">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p w14:paraId="7CC2E4BD">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4E816B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耶鲁综合抽动严重程度量表（观察表）</w:t>
            </w:r>
          </w:p>
        </w:tc>
        <w:tc>
          <w:tcPr>
            <w:tcW w:w="1213" w:type="dxa"/>
            <w:tcBorders>
              <w:top w:val="nil"/>
              <w:left w:val="nil"/>
              <w:bottom w:val="single" w:color="auto" w:sz="4" w:space="0"/>
              <w:right w:val="single" w:color="auto" w:sz="4" w:space="0"/>
            </w:tcBorders>
            <w:noWrap w:val="0"/>
            <w:vAlign w:val="center"/>
          </w:tcPr>
          <w:p w14:paraId="410106C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0C8D067A">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0C592D9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right w:val="single" w:color="auto" w:sz="4" w:space="0"/>
            </w:tcBorders>
            <w:noWrap w:val="0"/>
            <w:vAlign w:val="center"/>
          </w:tcPr>
          <w:p w14:paraId="460058FB">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37F7112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耶鲁综合抽动严重程度量表（YGTSS）（顺序表）</w:t>
            </w:r>
          </w:p>
        </w:tc>
        <w:tc>
          <w:tcPr>
            <w:tcW w:w="1213" w:type="dxa"/>
            <w:tcBorders>
              <w:top w:val="nil"/>
              <w:left w:val="nil"/>
              <w:bottom w:val="single" w:color="auto" w:sz="4" w:space="0"/>
              <w:right w:val="single" w:color="auto" w:sz="4" w:space="0"/>
            </w:tcBorders>
            <w:noWrap w:val="0"/>
            <w:vAlign w:val="center"/>
          </w:tcPr>
          <w:p w14:paraId="0912F0D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1DF28C06">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0477A72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02D9EB2D">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43F7818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多发性抽动症综合量表（TSGS）</w:t>
            </w:r>
          </w:p>
        </w:tc>
        <w:tc>
          <w:tcPr>
            <w:tcW w:w="1213" w:type="dxa"/>
            <w:tcBorders>
              <w:top w:val="nil"/>
              <w:left w:val="nil"/>
              <w:bottom w:val="single" w:color="auto" w:sz="4" w:space="0"/>
              <w:right w:val="single" w:color="auto" w:sz="4" w:space="0"/>
            </w:tcBorders>
            <w:noWrap w:val="0"/>
            <w:vAlign w:val="center"/>
          </w:tcPr>
          <w:p w14:paraId="11F6447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2EE65237">
        <w:tblPrEx>
          <w:tblCellMar>
            <w:top w:w="0" w:type="dxa"/>
            <w:left w:w="108" w:type="dxa"/>
            <w:bottom w:w="0" w:type="dxa"/>
            <w:right w:w="108" w:type="dxa"/>
          </w:tblCellMar>
        </w:tblPrEx>
        <w:trPr>
          <w:trHeight w:val="270" w:hRule="atLeast"/>
        </w:trPr>
        <w:tc>
          <w:tcPr>
            <w:tcW w:w="995" w:type="dxa"/>
            <w:tcBorders>
              <w:top w:val="nil"/>
              <w:left w:val="single" w:color="auto" w:sz="4" w:space="0"/>
              <w:bottom w:val="single" w:color="auto" w:sz="4" w:space="0"/>
              <w:right w:val="single" w:color="auto" w:sz="4" w:space="0"/>
            </w:tcBorders>
            <w:noWrap w:val="0"/>
            <w:vAlign w:val="top"/>
          </w:tcPr>
          <w:p w14:paraId="2337B757">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10</w:t>
            </w:r>
          </w:p>
        </w:tc>
        <w:tc>
          <w:tcPr>
            <w:tcW w:w="2813" w:type="dxa"/>
            <w:tcBorders>
              <w:top w:val="nil"/>
              <w:left w:val="single" w:color="auto" w:sz="4" w:space="0"/>
              <w:bottom w:val="single" w:color="auto" w:sz="4" w:space="0"/>
              <w:right w:val="single" w:color="auto" w:sz="4" w:space="0"/>
            </w:tcBorders>
            <w:noWrap w:val="0"/>
            <w:vAlign w:val="center"/>
          </w:tcPr>
          <w:p w14:paraId="5513B850">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语言类测评</w:t>
            </w:r>
          </w:p>
        </w:tc>
        <w:tc>
          <w:tcPr>
            <w:tcW w:w="4537" w:type="dxa"/>
            <w:tcBorders>
              <w:top w:val="nil"/>
              <w:left w:val="nil"/>
              <w:bottom w:val="single" w:color="auto" w:sz="4" w:space="0"/>
              <w:right w:val="single" w:color="auto" w:sz="4" w:space="0"/>
            </w:tcBorders>
            <w:noWrap w:val="0"/>
            <w:vAlign w:val="center"/>
          </w:tcPr>
          <w:p w14:paraId="6B6F228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图片词汇测试PPVT</w:t>
            </w:r>
          </w:p>
        </w:tc>
        <w:tc>
          <w:tcPr>
            <w:tcW w:w="1213" w:type="dxa"/>
            <w:tcBorders>
              <w:top w:val="nil"/>
              <w:left w:val="nil"/>
              <w:bottom w:val="single" w:color="auto" w:sz="4" w:space="0"/>
              <w:right w:val="single" w:color="auto" w:sz="4" w:space="0"/>
            </w:tcBorders>
            <w:noWrap w:val="0"/>
            <w:vAlign w:val="center"/>
          </w:tcPr>
          <w:p w14:paraId="0D04309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7B73E0C3">
        <w:tblPrEx>
          <w:tblCellMar>
            <w:top w:w="0" w:type="dxa"/>
            <w:left w:w="108" w:type="dxa"/>
            <w:bottom w:w="0" w:type="dxa"/>
            <w:right w:w="108" w:type="dxa"/>
          </w:tblCellMar>
        </w:tblPrEx>
        <w:trPr>
          <w:trHeight w:val="270" w:hRule="atLeast"/>
        </w:trPr>
        <w:tc>
          <w:tcPr>
            <w:tcW w:w="995" w:type="dxa"/>
            <w:tcBorders>
              <w:top w:val="nil"/>
              <w:left w:val="single" w:color="auto" w:sz="4" w:space="0"/>
              <w:bottom w:val="single" w:color="auto" w:sz="4" w:space="0"/>
              <w:right w:val="single" w:color="auto" w:sz="4" w:space="0"/>
            </w:tcBorders>
            <w:noWrap w:val="0"/>
            <w:vAlign w:val="top"/>
          </w:tcPr>
          <w:p w14:paraId="2DB6101B">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w:t>
            </w:r>
          </w:p>
        </w:tc>
        <w:tc>
          <w:tcPr>
            <w:tcW w:w="2813" w:type="dxa"/>
            <w:tcBorders>
              <w:top w:val="nil"/>
              <w:left w:val="single" w:color="auto" w:sz="4" w:space="0"/>
              <w:bottom w:val="single" w:color="auto" w:sz="4" w:space="0"/>
              <w:right w:val="single" w:color="auto" w:sz="4" w:space="0"/>
            </w:tcBorders>
            <w:noWrap w:val="0"/>
            <w:vAlign w:val="center"/>
          </w:tcPr>
          <w:p w14:paraId="279C43C7">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神经类测评</w:t>
            </w:r>
          </w:p>
        </w:tc>
        <w:tc>
          <w:tcPr>
            <w:tcW w:w="4537" w:type="dxa"/>
            <w:tcBorders>
              <w:top w:val="nil"/>
              <w:left w:val="nil"/>
              <w:bottom w:val="single" w:color="auto" w:sz="4" w:space="0"/>
              <w:right w:val="single" w:color="auto" w:sz="4" w:space="0"/>
            </w:tcBorders>
            <w:noWrap w:val="0"/>
            <w:vAlign w:val="center"/>
          </w:tcPr>
          <w:p w14:paraId="1438F12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格拉斯哥昏迷评分量表（GCS）（≥4岁）</w:t>
            </w:r>
          </w:p>
        </w:tc>
        <w:tc>
          <w:tcPr>
            <w:tcW w:w="1213" w:type="dxa"/>
            <w:tcBorders>
              <w:top w:val="nil"/>
              <w:left w:val="nil"/>
              <w:bottom w:val="single" w:color="auto" w:sz="4" w:space="0"/>
              <w:right w:val="single" w:color="auto" w:sz="4" w:space="0"/>
            </w:tcBorders>
            <w:noWrap w:val="0"/>
            <w:vAlign w:val="center"/>
          </w:tcPr>
          <w:p w14:paraId="639CA0E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7D5D175D">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5C616A1C">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w:t>
            </w:r>
          </w:p>
        </w:tc>
        <w:tc>
          <w:tcPr>
            <w:tcW w:w="2813" w:type="dxa"/>
            <w:vMerge w:val="restart"/>
            <w:tcBorders>
              <w:top w:val="nil"/>
              <w:left w:val="single" w:color="auto" w:sz="4" w:space="0"/>
              <w:right w:val="single" w:color="auto" w:sz="4" w:space="0"/>
            </w:tcBorders>
            <w:noWrap w:val="0"/>
            <w:vAlign w:val="center"/>
          </w:tcPr>
          <w:p w14:paraId="18FFD5E3">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社会及家庭养育类测评</w:t>
            </w:r>
          </w:p>
          <w:p w14:paraId="782E9C54">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582EEF6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格拉斯哥儿童昏迷评分量表（GCS）</w:t>
            </w:r>
          </w:p>
        </w:tc>
        <w:tc>
          <w:tcPr>
            <w:tcW w:w="1213" w:type="dxa"/>
            <w:tcBorders>
              <w:top w:val="nil"/>
              <w:left w:val="nil"/>
              <w:bottom w:val="single" w:color="auto" w:sz="4" w:space="0"/>
              <w:right w:val="single" w:color="auto" w:sz="4" w:space="0"/>
            </w:tcBorders>
            <w:noWrap w:val="0"/>
            <w:vAlign w:val="center"/>
          </w:tcPr>
          <w:p w14:paraId="59308A4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6E72F950">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450EEB1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2813" w:type="dxa"/>
            <w:vMerge w:val="continue"/>
            <w:tcBorders>
              <w:left w:val="single" w:color="auto" w:sz="4" w:space="0"/>
              <w:bottom w:val="single" w:color="auto" w:sz="4" w:space="0"/>
              <w:right w:val="single" w:color="auto" w:sz="4" w:space="0"/>
            </w:tcBorders>
            <w:noWrap w:val="0"/>
            <w:vAlign w:val="center"/>
          </w:tcPr>
          <w:p w14:paraId="7AEE964E">
            <w:pPr>
              <w:spacing w:line="360" w:lineRule="auto"/>
              <w:ind w:firstLine="560" w:firstLineChars="200"/>
              <w:jc w:val="center"/>
              <w:rPr>
                <w:rFonts w:hint="eastAsia" w:ascii="仿宋_GB2312" w:hAnsi="Times New Roman" w:eastAsia="仿宋_GB2312" w:cs="仿宋_GB2312"/>
                <w:bCs/>
                <w:color w:val="auto"/>
                <w:kern w:val="0"/>
                <w:sz w:val="28"/>
                <w:szCs w:val="28"/>
                <w:lang w:val="en-US" w:eastAsia="zh-CN" w:bidi="ar-SA"/>
              </w:rPr>
            </w:pPr>
          </w:p>
        </w:tc>
        <w:tc>
          <w:tcPr>
            <w:tcW w:w="4537" w:type="dxa"/>
            <w:tcBorders>
              <w:top w:val="nil"/>
              <w:left w:val="nil"/>
              <w:bottom w:val="single" w:color="auto" w:sz="4" w:space="0"/>
              <w:right w:val="single" w:color="auto" w:sz="4" w:space="0"/>
            </w:tcBorders>
            <w:noWrap w:val="0"/>
            <w:vAlign w:val="center"/>
          </w:tcPr>
          <w:p w14:paraId="03A9420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家庭教养方式问卷</w:t>
            </w:r>
          </w:p>
        </w:tc>
        <w:tc>
          <w:tcPr>
            <w:tcW w:w="1213" w:type="dxa"/>
            <w:tcBorders>
              <w:top w:val="nil"/>
              <w:left w:val="nil"/>
              <w:bottom w:val="single" w:color="auto" w:sz="4" w:space="0"/>
              <w:right w:val="single" w:color="auto" w:sz="4" w:space="0"/>
            </w:tcBorders>
            <w:noWrap w:val="0"/>
            <w:vAlign w:val="center"/>
          </w:tcPr>
          <w:p w14:paraId="7D5B6FE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bl>
    <w:p w14:paraId="069092B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附件二</w:t>
      </w:r>
    </w:p>
    <w:p w14:paraId="70B2737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儿童健康测评系统专业版协议所含内容列表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613"/>
        <w:gridCol w:w="3750"/>
        <w:gridCol w:w="1892"/>
      </w:tblGrid>
      <w:tr w14:paraId="2DB6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63E09EE9">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序号</w:t>
            </w:r>
          </w:p>
        </w:tc>
        <w:tc>
          <w:tcPr>
            <w:tcW w:w="2613" w:type="dxa"/>
            <w:noWrap w:val="0"/>
            <w:vAlign w:val="top"/>
          </w:tcPr>
          <w:p w14:paraId="37B23D5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类   别</w:t>
            </w:r>
          </w:p>
        </w:tc>
        <w:tc>
          <w:tcPr>
            <w:tcW w:w="3750" w:type="dxa"/>
            <w:noWrap w:val="0"/>
            <w:vAlign w:val="top"/>
          </w:tcPr>
          <w:p w14:paraId="46AE27D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项      目</w:t>
            </w:r>
          </w:p>
        </w:tc>
        <w:tc>
          <w:tcPr>
            <w:tcW w:w="1892" w:type="dxa"/>
            <w:noWrap w:val="0"/>
            <w:vAlign w:val="top"/>
          </w:tcPr>
          <w:p w14:paraId="55B4378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备注</w:t>
            </w:r>
          </w:p>
        </w:tc>
      </w:tr>
      <w:tr w14:paraId="578E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4DEA7513">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p>
        </w:tc>
        <w:tc>
          <w:tcPr>
            <w:tcW w:w="2613" w:type="dxa"/>
            <w:noWrap w:val="0"/>
            <w:vAlign w:val="top"/>
          </w:tcPr>
          <w:p w14:paraId="2399EBE9">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儿童体格生长测评</w:t>
            </w:r>
          </w:p>
        </w:tc>
        <w:tc>
          <w:tcPr>
            <w:tcW w:w="3750" w:type="dxa"/>
            <w:noWrap w:val="0"/>
            <w:vAlign w:val="top"/>
          </w:tcPr>
          <w:p w14:paraId="7545BB3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TW-C骨龄评定</w:t>
            </w:r>
          </w:p>
        </w:tc>
        <w:tc>
          <w:tcPr>
            <w:tcW w:w="1892" w:type="dxa"/>
            <w:noWrap w:val="0"/>
            <w:vAlign w:val="top"/>
          </w:tcPr>
          <w:p w14:paraId="287579F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自评</w:t>
            </w:r>
          </w:p>
        </w:tc>
      </w:tr>
      <w:tr w14:paraId="1FC9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25D465AD">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p>
        </w:tc>
        <w:tc>
          <w:tcPr>
            <w:tcW w:w="2613" w:type="dxa"/>
            <w:noWrap w:val="0"/>
            <w:vAlign w:val="top"/>
          </w:tcPr>
          <w:p w14:paraId="5C1BC8B8">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儿童运动测评</w:t>
            </w:r>
          </w:p>
        </w:tc>
        <w:tc>
          <w:tcPr>
            <w:tcW w:w="3750" w:type="dxa"/>
            <w:noWrap w:val="0"/>
            <w:vAlign w:val="top"/>
          </w:tcPr>
          <w:p w14:paraId="3A7C209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Peabody运动发育量表</w:t>
            </w:r>
          </w:p>
        </w:tc>
        <w:tc>
          <w:tcPr>
            <w:tcW w:w="1892" w:type="dxa"/>
            <w:noWrap w:val="0"/>
            <w:vAlign w:val="top"/>
          </w:tcPr>
          <w:p w14:paraId="216266F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14:paraId="66F1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227E8485">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p>
        </w:tc>
        <w:tc>
          <w:tcPr>
            <w:tcW w:w="2613" w:type="dxa"/>
            <w:noWrap w:val="0"/>
            <w:vAlign w:val="top"/>
          </w:tcPr>
          <w:p w14:paraId="4CBB568F">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发育诊断类测评</w:t>
            </w:r>
          </w:p>
        </w:tc>
        <w:tc>
          <w:tcPr>
            <w:tcW w:w="3750" w:type="dxa"/>
            <w:noWrap w:val="0"/>
            <w:vAlign w:val="top"/>
          </w:tcPr>
          <w:p w14:paraId="586EC43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Gesell发育诊断量表</w:t>
            </w:r>
          </w:p>
        </w:tc>
        <w:tc>
          <w:tcPr>
            <w:tcW w:w="1892" w:type="dxa"/>
            <w:noWrap w:val="0"/>
            <w:vAlign w:val="top"/>
          </w:tcPr>
          <w:p w14:paraId="230449D9">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不含工具箱</w:t>
            </w:r>
          </w:p>
        </w:tc>
      </w:tr>
    </w:tbl>
    <w:p w14:paraId="2D21CB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r>
        <w:rPr>
          <w:rFonts w:hint="eastAsia" w:ascii="仿宋_GB2312" w:eastAsia="仿宋_GB2312" w:cs="仿宋_GB2312"/>
          <w:bCs/>
          <w:color w:val="auto"/>
          <w:kern w:val="0"/>
          <w:sz w:val="28"/>
          <w:szCs w:val="28"/>
          <w:lang w:val="en-US" w:eastAsia="zh-CN" w:bidi="ar-SA"/>
        </w:rPr>
        <w:t>。</w:t>
      </w:r>
    </w:p>
    <w:p w14:paraId="7E7E74E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162EAA3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B8243A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174232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6E3AE58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63FCA4B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3967BC4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888EAD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A3C241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7A03EEBA">
      <w:pPr>
        <w:pStyle w:val="15"/>
        <w:rPr>
          <w:rFonts w:hint="eastAsia" w:ascii="仿宋_GB2312" w:hAnsi="Times New Roman" w:eastAsia="仿宋_GB2312" w:cs="仿宋_GB2312"/>
          <w:bCs/>
          <w:color w:val="auto"/>
          <w:kern w:val="0"/>
          <w:sz w:val="28"/>
          <w:szCs w:val="28"/>
          <w:lang w:val="en-US" w:eastAsia="zh-CN" w:bidi="ar-SA"/>
        </w:rPr>
      </w:pPr>
    </w:p>
    <w:p w14:paraId="30F6617B">
      <w:pPr>
        <w:keepNext w:val="0"/>
        <w:keepLines w:val="0"/>
        <w:pageBreakBefore w:val="0"/>
        <w:widowControl w:val="0"/>
        <w:kinsoku/>
        <w:wordWrap/>
        <w:overflowPunct/>
        <w:topLinePunct w:val="0"/>
        <w:autoSpaceDE/>
        <w:autoSpaceDN/>
        <w:bidi w:val="0"/>
        <w:adjustRightInd/>
        <w:snapToGrid/>
        <w:spacing w:line="500" w:lineRule="exact"/>
        <w:ind w:left="0" w:leftChars="0" w:firstLine="7000" w:firstLineChars="2500"/>
        <w:textAlignment w:val="auto"/>
        <w:rPr>
          <w:rFonts w:hint="eastAsia"/>
          <w:color w:val="auto"/>
          <w:sz w:val="32"/>
          <w:szCs w:val="32"/>
          <w:lang w:val="en-US" w:eastAsia="zh-CN"/>
        </w:rPr>
      </w:pPr>
      <w:bookmarkStart w:id="1" w:name="_Toc16523574"/>
      <w:r>
        <w:rPr>
          <w:rFonts w:hint="eastAsia"/>
          <w:color w:val="auto"/>
          <w:sz w:val="28"/>
          <w:szCs w:val="28"/>
          <w:lang w:val="en-US" w:eastAsia="zh-CN"/>
        </w:rPr>
        <w:t>合同编号：</w:t>
      </w:r>
    </w:p>
    <w:p w14:paraId="4915BFD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color w:val="auto"/>
          <w:sz w:val="32"/>
          <w:szCs w:val="32"/>
        </w:rPr>
      </w:pPr>
      <w:r>
        <w:rPr>
          <w:rFonts w:hint="eastAsia" w:ascii="方正小标宋简体" w:hAnsi="方正小标宋简体" w:eastAsia="方正小标宋简体" w:cs="方正小标宋简体"/>
          <w:b w:val="0"/>
          <w:bCs w:val="0"/>
          <w:color w:val="auto"/>
          <w:sz w:val="44"/>
          <w:szCs w:val="44"/>
        </w:rPr>
        <w:t>技术服务协议</w:t>
      </w:r>
    </w:p>
    <w:p w14:paraId="18A42871">
      <w:pPr>
        <w:pStyle w:val="8"/>
        <w:pageBreakBefore w:val="0"/>
        <w:kinsoku/>
        <w:wordWrap/>
        <w:overflowPunct/>
        <w:topLinePunct w:val="0"/>
        <w:autoSpaceDE/>
        <w:autoSpaceDN/>
        <w:bidi w:val="0"/>
        <w:adjustRightInd/>
        <w:snapToGrid/>
        <w:spacing w:after="0" w:line="500" w:lineRule="exact"/>
        <w:ind w:left="0" w:leftChars="0" w:firstLine="420" w:firstLineChars="200"/>
        <w:textAlignment w:val="auto"/>
        <w:rPr>
          <w:color w:val="auto"/>
        </w:rPr>
      </w:pPr>
    </w:p>
    <w:p w14:paraId="5F50A13A">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甲方：</w:t>
      </w:r>
      <w:r>
        <w:rPr>
          <w:rFonts w:hint="eastAsia" w:ascii="宋体" w:hAnsi="宋体" w:eastAsia="宋体" w:cs="宋体"/>
          <w:color w:val="auto"/>
          <w:sz w:val="28"/>
          <w:szCs w:val="28"/>
        </w:rPr>
        <w:t>娄底市中心医院</w:t>
      </w:r>
    </w:p>
    <w:p w14:paraId="6651B000">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法定代表人：左建辉</w:t>
      </w:r>
    </w:p>
    <w:p w14:paraId="22B88574">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统一社会信用代码：12431300447162073W</w:t>
      </w:r>
    </w:p>
    <w:p w14:paraId="7456E9BA">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ascii="宋体" w:hAnsi="宋体" w:eastAsia="宋体" w:cs="宋体"/>
          <w:color w:val="auto"/>
          <w:kern w:val="2"/>
          <w:sz w:val="28"/>
          <w:szCs w:val="28"/>
          <w:lang w:val="en-US" w:eastAsia="zh-CN" w:bidi="ar-SA"/>
        </w:rPr>
      </w:pPr>
    </w:p>
    <w:p w14:paraId="56BC5811">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乙方：</w:t>
      </w:r>
      <w:r>
        <w:rPr>
          <w:rFonts w:hint="eastAsia" w:ascii="宋体" w:hAnsi="宋体" w:eastAsia="宋体" w:cs="宋体"/>
          <w:color w:val="auto"/>
          <w:sz w:val="28"/>
          <w:szCs w:val="28"/>
        </w:rPr>
        <w:t>湖南尔葆健康科技有限公司</w:t>
      </w:r>
    </w:p>
    <w:p w14:paraId="571C5A39">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法定代表人：陈建国</w:t>
      </w:r>
    </w:p>
    <w:p w14:paraId="142E3DFE">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统一社会信用代码：914301113385068187</w:t>
      </w:r>
    </w:p>
    <w:p w14:paraId="2E3CA6C3">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ascii="宋体" w:hAnsi="宋体" w:eastAsia="宋体" w:cs="宋体"/>
          <w:color w:val="auto"/>
          <w:kern w:val="2"/>
          <w:sz w:val="28"/>
          <w:szCs w:val="28"/>
          <w:lang w:val="en-US" w:eastAsia="zh-CN" w:bidi="ar-SA"/>
        </w:rPr>
      </w:pPr>
    </w:p>
    <w:p w14:paraId="3019C0DB">
      <w:pPr>
        <w:keepNext w:val="0"/>
        <w:keepLines w:val="0"/>
        <w:pageBreakBefore w:val="0"/>
        <w:numPr>
          <w:ilvl w:val="0"/>
          <w:numId w:val="0"/>
        </w:numPr>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 xml:space="preserve">    甲、</w:t>
      </w:r>
      <w:r>
        <w:rPr>
          <w:rFonts w:hint="eastAsia" w:ascii="宋体" w:hAnsi="宋体" w:eastAsia="宋体" w:cs="宋体"/>
          <w:color w:val="auto"/>
          <w:sz w:val="28"/>
          <w:szCs w:val="28"/>
          <w:lang w:val="en-US" w:eastAsia="zh-CN"/>
        </w:rPr>
        <w:t>乙双方</w:t>
      </w:r>
      <w:r>
        <w:rPr>
          <w:rFonts w:hint="eastAsia" w:ascii="宋体" w:hAnsi="宋体" w:cs="宋体"/>
          <w:color w:val="auto"/>
          <w:sz w:val="28"/>
          <w:szCs w:val="28"/>
          <w:lang w:val="en-US" w:eastAsia="zh-CN"/>
        </w:rPr>
        <w:t>已</w:t>
      </w:r>
      <w:r>
        <w:rPr>
          <w:rFonts w:hint="eastAsia" w:ascii="宋体" w:hAnsi="宋体" w:eastAsia="宋体" w:cs="宋体"/>
          <w:color w:val="auto"/>
          <w:sz w:val="28"/>
          <w:szCs w:val="28"/>
          <w:lang w:val="en-US" w:eastAsia="zh-CN"/>
        </w:rPr>
        <w:t>于2022年5月12日签订《技术服务续约协议》</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服务</w:t>
      </w:r>
      <w:r>
        <w:rPr>
          <w:rFonts w:hint="eastAsia" w:ascii="宋体" w:hAnsi="宋体" w:cs="宋体"/>
          <w:color w:val="auto"/>
          <w:sz w:val="28"/>
          <w:szCs w:val="28"/>
          <w:lang w:val="en-US" w:eastAsia="zh-CN"/>
        </w:rPr>
        <w:t>期限至</w:t>
      </w:r>
      <w:r>
        <w:rPr>
          <w:rFonts w:hint="eastAsia" w:ascii="宋体" w:hAnsi="宋体" w:eastAsia="宋体" w:cs="宋体"/>
          <w:color w:val="auto"/>
          <w:sz w:val="28"/>
          <w:szCs w:val="28"/>
          <w:lang w:val="en-US" w:eastAsia="zh-CN"/>
        </w:rPr>
        <w:t>2024年10月31日</w:t>
      </w:r>
      <w:r>
        <w:rPr>
          <w:rFonts w:hint="eastAsia" w:ascii="宋体" w:hAnsi="宋体" w:cs="宋体"/>
          <w:color w:val="auto"/>
          <w:sz w:val="28"/>
          <w:szCs w:val="28"/>
          <w:lang w:val="en-US" w:eastAsia="zh-CN"/>
        </w:rPr>
        <w:t>届满。</w:t>
      </w:r>
      <w:r>
        <w:rPr>
          <w:rFonts w:hint="eastAsia" w:ascii="宋体" w:hAnsi="宋体" w:eastAsia="宋体" w:cs="宋体"/>
          <w:color w:val="auto"/>
          <w:sz w:val="28"/>
          <w:szCs w:val="28"/>
          <w:lang w:val="en-US" w:eastAsia="zh-CN"/>
        </w:rPr>
        <w:t>鉴于甲方</w:t>
      </w:r>
      <w:r>
        <w:rPr>
          <w:rFonts w:hint="eastAsia" w:ascii="宋体" w:hAnsi="宋体" w:cs="宋体"/>
          <w:color w:val="auto"/>
          <w:sz w:val="28"/>
          <w:szCs w:val="28"/>
          <w:lang w:val="en-US" w:eastAsia="zh-CN"/>
        </w:rPr>
        <w:t>需继续</w:t>
      </w:r>
      <w:r>
        <w:rPr>
          <w:rFonts w:hint="eastAsia" w:ascii="宋体" w:hAnsi="宋体" w:eastAsia="宋体" w:cs="宋体"/>
          <w:color w:val="auto"/>
          <w:sz w:val="28"/>
          <w:szCs w:val="28"/>
          <w:lang w:val="en-US" w:eastAsia="zh-CN"/>
        </w:rPr>
        <w:t>使用乙方提供的儿童健康管理系统软件及技术服务服务</w:t>
      </w:r>
      <w:r>
        <w:rPr>
          <w:rFonts w:hint="eastAsia" w:ascii="宋体" w:hAnsi="宋体" w:cs="宋体"/>
          <w:color w:val="auto"/>
          <w:sz w:val="28"/>
          <w:szCs w:val="28"/>
          <w:lang w:val="en-US" w:eastAsia="zh-CN"/>
        </w:rPr>
        <w:t>，现</w:t>
      </w:r>
      <w:r>
        <w:rPr>
          <w:rFonts w:hint="eastAsia" w:ascii="宋体" w:hAnsi="宋体" w:eastAsia="宋体" w:cs="宋体"/>
          <w:color w:val="auto"/>
          <w:sz w:val="28"/>
          <w:szCs w:val="28"/>
        </w:rPr>
        <w:t>双方本着平等、自愿、互惠互利的原则，</w:t>
      </w:r>
      <w:r>
        <w:rPr>
          <w:rFonts w:hint="eastAsia" w:ascii="宋体" w:hAnsi="宋体" w:eastAsia="宋体" w:cs="宋体"/>
          <w:color w:val="auto"/>
          <w:sz w:val="28"/>
          <w:szCs w:val="28"/>
          <w:lang w:val="en-US" w:eastAsia="zh-CN"/>
        </w:rPr>
        <w:t>就</w:t>
      </w:r>
      <w:r>
        <w:rPr>
          <w:rFonts w:hint="eastAsia" w:ascii="宋体" w:hAnsi="宋体" w:eastAsia="宋体" w:cs="宋体"/>
          <w:color w:val="auto"/>
          <w:sz w:val="28"/>
          <w:szCs w:val="28"/>
        </w:rPr>
        <w:t>乙方</w:t>
      </w:r>
      <w:r>
        <w:rPr>
          <w:rFonts w:hint="eastAsia" w:ascii="宋体" w:hAnsi="宋体" w:eastAsia="宋体" w:cs="宋体"/>
          <w:color w:val="auto"/>
          <w:sz w:val="28"/>
          <w:szCs w:val="28"/>
          <w:lang w:val="en-US" w:eastAsia="zh-CN"/>
        </w:rPr>
        <w:t>向</w:t>
      </w:r>
      <w:r>
        <w:rPr>
          <w:rFonts w:hint="eastAsia" w:ascii="宋体" w:hAnsi="宋体" w:eastAsia="宋体" w:cs="宋体"/>
          <w:color w:val="auto"/>
          <w:sz w:val="28"/>
          <w:szCs w:val="28"/>
        </w:rPr>
        <w:t>甲方</w:t>
      </w:r>
      <w:r>
        <w:rPr>
          <w:rFonts w:hint="eastAsia" w:ascii="宋体" w:hAnsi="宋体" w:eastAsia="宋体" w:cs="宋体"/>
          <w:color w:val="auto"/>
          <w:sz w:val="28"/>
          <w:szCs w:val="28"/>
          <w:lang w:val="en-US" w:eastAsia="zh-CN"/>
        </w:rPr>
        <w:t>提供其</w:t>
      </w:r>
      <w:r>
        <w:rPr>
          <w:rFonts w:hint="eastAsia" w:ascii="宋体" w:hAnsi="宋体" w:eastAsia="宋体" w:cs="宋体"/>
          <w:color w:val="auto"/>
          <w:sz w:val="28"/>
          <w:szCs w:val="28"/>
        </w:rPr>
        <w:t>开发的儿童健康管理系统</w:t>
      </w:r>
      <w:r>
        <w:rPr>
          <w:rFonts w:hint="eastAsia" w:ascii="宋体" w:hAnsi="宋体" w:eastAsia="宋体" w:cs="宋体"/>
          <w:color w:val="auto"/>
          <w:sz w:val="28"/>
          <w:szCs w:val="28"/>
          <w:lang w:val="en-US" w:eastAsia="zh-CN"/>
        </w:rPr>
        <w:t>软件及技术</w:t>
      </w:r>
      <w:r>
        <w:rPr>
          <w:rFonts w:hint="eastAsia" w:ascii="宋体" w:hAnsi="宋体" w:eastAsia="宋体" w:cs="宋体"/>
          <w:color w:val="auto"/>
          <w:sz w:val="28"/>
          <w:szCs w:val="28"/>
        </w:rPr>
        <w:t>服务</w:t>
      </w:r>
      <w:r>
        <w:rPr>
          <w:rFonts w:hint="eastAsia" w:ascii="宋体" w:hAnsi="宋体" w:eastAsia="宋体" w:cs="宋体"/>
          <w:color w:val="auto"/>
          <w:sz w:val="28"/>
          <w:szCs w:val="28"/>
          <w:lang w:val="en-US" w:eastAsia="zh-CN"/>
        </w:rPr>
        <w:t>相关事宜经</w:t>
      </w:r>
      <w:r>
        <w:rPr>
          <w:rFonts w:hint="eastAsia" w:ascii="宋体" w:hAnsi="宋体" w:eastAsia="宋体" w:cs="宋体"/>
          <w:color w:val="auto"/>
          <w:sz w:val="28"/>
          <w:szCs w:val="28"/>
        </w:rPr>
        <w:t>友好协商，达成</w:t>
      </w:r>
      <w:r>
        <w:rPr>
          <w:rFonts w:hint="eastAsia" w:ascii="宋体" w:hAnsi="宋体" w:eastAsia="宋体" w:cs="宋体"/>
          <w:color w:val="auto"/>
          <w:sz w:val="28"/>
          <w:szCs w:val="28"/>
          <w:lang w:val="en-US" w:eastAsia="zh-CN"/>
        </w:rPr>
        <w:t>本协议条款，以资共同遵守</w:t>
      </w:r>
      <w:r>
        <w:rPr>
          <w:rFonts w:hint="eastAsia" w:ascii="宋体" w:hAnsi="宋体" w:eastAsia="宋体" w:cs="宋体"/>
          <w:color w:val="auto"/>
          <w:sz w:val="28"/>
          <w:szCs w:val="28"/>
          <w:lang w:eastAsia="zh-CN"/>
        </w:rPr>
        <w:t>：</w:t>
      </w:r>
    </w:p>
    <w:p w14:paraId="121F65EE">
      <w:pPr>
        <w:pStyle w:val="17"/>
        <w:keepNext w:val="0"/>
        <w:keepLines w:val="0"/>
        <w:pageBreakBefore w:val="0"/>
        <w:widowControl/>
        <w:numPr>
          <w:ilvl w:val="0"/>
          <w:numId w:val="0"/>
        </w:numPr>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b/>
          <w:bCs/>
          <w:color w:val="auto"/>
          <w:sz w:val="28"/>
          <w:szCs w:val="28"/>
          <w:lang w:val="en-US" w:eastAsia="zh-CN"/>
        </w:rPr>
      </w:pPr>
      <w:r>
        <w:rPr>
          <w:rFonts w:hint="eastAsia" w:ascii="宋体" w:hAnsi="宋体" w:eastAsia="宋体" w:cs="宋体"/>
          <w:color w:val="auto"/>
          <w:sz w:val="28"/>
          <w:szCs w:val="28"/>
        </w:rPr>
        <w:t>一</w:t>
      </w:r>
      <w:r>
        <w:rPr>
          <w:rFonts w:hint="eastAsia" w:ascii="宋体" w:hAnsi="宋体" w:eastAsia="宋体" w:cs="宋体"/>
          <w:color w:val="auto"/>
          <w:sz w:val="28"/>
          <w:szCs w:val="28"/>
          <w:lang w:eastAsia="zh-CN"/>
        </w:rPr>
        <w:t>、</w:t>
      </w:r>
      <w:r>
        <w:rPr>
          <w:rFonts w:hint="eastAsia" w:ascii="宋体" w:hAnsi="宋体" w:eastAsia="宋体" w:cs="宋体"/>
          <w:b/>
          <w:bCs/>
          <w:color w:val="auto"/>
          <w:sz w:val="28"/>
          <w:szCs w:val="28"/>
          <w:lang w:val="en-US" w:eastAsia="zh-CN"/>
        </w:rPr>
        <w:t>软件名称及技术</w:t>
      </w:r>
      <w:r>
        <w:rPr>
          <w:rFonts w:hint="eastAsia" w:ascii="宋体" w:hAnsi="宋体" w:eastAsia="宋体" w:cs="宋体"/>
          <w:b/>
          <w:bCs/>
          <w:color w:val="auto"/>
          <w:sz w:val="28"/>
          <w:szCs w:val="28"/>
        </w:rPr>
        <w:t>服务</w:t>
      </w:r>
      <w:r>
        <w:rPr>
          <w:rFonts w:hint="eastAsia" w:ascii="宋体" w:hAnsi="宋体" w:eastAsia="宋体" w:cs="宋体"/>
          <w:b/>
          <w:bCs/>
          <w:color w:val="auto"/>
          <w:sz w:val="28"/>
          <w:szCs w:val="28"/>
          <w:lang w:val="en-US" w:eastAsia="zh-CN"/>
        </w:rPr>
        <w:t>内容</w:t>
      </w:r>
    </w:p>
    <w:p w14:paraId="13BE406C">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1.1 软件名称：</w:t>
      </w:r>
      <w:r>
        <w:rPr>
          <w:rFonts w:hint="eastAsia" w:ascii="宋体" w:hAnsi="宋体" w:eastAsia="宋体" w:cs="宋体"/>
          <w:b w:val="0"/>
          <w:bCs/>
          <w:color w:val="auto"/>
          <w:sz w:val="28"/>
          <w:szCs w:val="28"/>
        </w:rPr>
        <w:t>儿童健康测评系统</w:t>
      </w:r>
      <w:r>
        <w:rPr>
          <w:rFonts w:hint="eastAsia" w:ascii="宋体" w:hAnsi="宋体" w:cs="宋体"/>
          <w:b w:val="0"/>
          <w:bCs/>
          <w:color w:val="auto"/>
          <w:sz w:val="28"/>
          <w:szCs w:val="28"/>
          <w:lang w:eastAsia="zh-CN"/>
        </w:rPr>
        <w:t>。</w:t>
      </w:r>
    </w:p>
    <w:p w14:paraId="4D620E3F">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1.2 技术</w:t>
      </w:r>
      <w:r>
        <w:rPr>
          <w:rFonts w:hint="eastAsia" w:ascii="宋体" w:hAnsi="宋体" w:eastAsia="宋体" w:cs="宋体"/>
          <w:b w:val="0"/>
          <w:bCs w:val="0"/>
          <w:color w:val="auto"/>
          <w:sz w:val="28"/>
          <w:szCs w:val="28"/>
        </w:rPr>
        <w:t>服务内容</w:t>
      </w:r>
      <w:r>
        <w:rPr>
          <w:rFonts w:hint="eastAsia" w:ascii="宋体" w:hAnsi="宋体" w:eastAsia="宋体" w:cs="宋体"/>
          <w:b w:val="0"/>
          <w:bCs w:val="0"/>
          <w:color w:val="auto"/>
          <w:sz w:val="28"/>
          <w:szCs w:val="28"/>
          <w:lang w:eastAsia="zh-CN"/>
        </w:rPr>
        <w:t>：</w:t>
      </w:r>
    </w:p>
    <w:p w14:paraId="1E22ACDF">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eastAsia" w:ascii="宋体" w:hAnsi="宋体" w:eastAsia="宋体" w:cs="宋体"/>
          <w:b w:val="0"/>
          <w:bCs/>
          <w:color w:val="auto"/>
          <w:kern w:val="2"/>
          <w:sz w:val="28"/>
          <w:szCs w:val="28"/>
          <w:lang w:val="en-US" w:eastAsia="zh-CN" w:bidi="ar-SA"/>
        </w:rPr>
      </w:pPr>
      <w:r>
        <w:rPr>
          <w:rFonts w:hint="eastAsia" w:ascii="宋体" w:hAnsi="宋体" w:eastAsia="宋体" w:cs="宋体"/>
          <w:b w:val="0"/>
          <w:bCs/>
          <w:color w:val="auto"/>
          <w:kern w:val="2"/>
          <w:sz w:val="28"/>
          <w:szCs w:val="28"/>
          <w:lang w:val="en-US" w:eastAsia="zh-CN" w:bidi="ar-SA"/>
        </w:rPr>
        <w:t>1.2.1 乙方应在本协议签订之日为甲方安装软件系统，并调试好确保甲方能正常使用。</w:t>
      </w:r>
    </w:p>
    <w:p w14:paraId="6B02DD49">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 xml:space="preserve">1.2.2 </w:t>
      </w:r>
      <w:r>
        <w:rPr>
          <w:rFonts w:hint="eastAsia" w:ascii="宋体" w:hAnsi="宋体" w:eastAsia="宋体" w:cs="宋体"/>
          <w:b w:val="0"/>
          <w:bCs/>
          <w:color w:val="auto"/>
          <w:sz w:val="28"/>
          <w:szCs w:val="28"/>
        </w:rPr>
        <w:t>乙方提供儿童健康测评系统</w:t>
      </w:r>
      <w:r>
        <w:rPr>
          <w:rFonts w:hint="eastAsia" w:ascii="宋体" w:hAnsi="宋体" w:eastAsia="宋体" w:cs="宋体"/>
          <w:b w:val="0"/>
          <w:bCs/>
          <w:color w:val="auto"/>
          <w:sz w:val="28"/>
          <w:szCs w:val="28"/>
          <w:lang w:val="en-US" w:eastAsia="zh-CN"/>
        </w:rPr>
        <w:t>软件的</w:t>
      </w:r>
      <w:r>
        <w:rPr>
          <w:rFonts w:hint="eastAsia" w:ascii="宋体" w:hAnsi="宋体" w:eastAsia="宋体" w:cs="宋体"/>
          <w:b w:val="0"/>
          <w:bCs/>
          <w:color w:val="auto"/>
          <w:sz w:val="28"/>
          <w:szCs w:val="28"/>
        </w:rPr>
        <w:t>基础版全部功能，及专业版的部分功能（见附件清单）</w:t>
      </w:r>
      <w:r>
        <w:rPr>
          <w:rFonts w:hint="eastAsia" w:ascii="宋体" w:hAnsi="宋体" w:eastAsia="宋体" w:cs="宋体"/>
          <w:b w:val="0"/>
          <w:bCs/>
          <w:color w:val="auto"/>
          <w:sz w:val="28"/>
          <w:szCs w:val="28"/>
          <w:lang w:val="en-US" w:eastAsia="zh-CN"/>
        </w:rPr>
        <w:t>供甲方使用</w:t>
      </w:r>
      <w:r>
        <w:rPr>
          <w:rFonts w:hint="eastAsia" w:ascii="宋体" w:hAnsi="宋体" w:eastAsia="宋体" w:cs="宋体"/>
          <w:b w:val="0"/>
          <w:bCs/>
          <w:color w:val="auto"/>
          <w:sz w:val="28"/>
          <w:szCs w:val="28"/>
        </w:rPr>
        <w:t>。</w:t>
      </w:r>
    </w:p>
    <w:p w14:paraId="5558D8A0">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1.2.3 </w:t>
      </w:r>
      <w:r>
        <w:rPr>
          <w:rFonts w:hint="eastAsia" w:ascii="宋体" w:hAnsi="宋体" w:eastAsia="宋体" w:cs="宋体"/>
          <w:color w:val="auto"/>
          <w:sz w:val="28"/>
          <w:szCs w:val="28"/>
        </w:rPr>
        <w:t>乙方为甲方提供儿童健康管理系统账号和密码，不限制</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使用</w:t>
      </w:r>
      <w:r>
        <w:rPr>
          <w:rFonts w:hint="eastAsia" w:ascii="宋体" w:hAnsi="宋体" w:eastAsia="宋体" w:cs="宋体"/>
          <w:color w:val="auto"/>
          <w:sz w:val="28"/>
          <w:szCs w:val="28"/>
          <w:lang w:val="en-US" w:eastAsia="zh-CN"/>
        </w:rPr>
        <w:t>软件</w:t>
      </w:r>
      <w:r>
        <w:rPr>
          <w:rFonts w:hint="eastAsia" w:ascii="宋体" w:hAnsi="宋体" w:eastAsia="宋体" w:cs="宋体"/>
          <w:color w:val="auto"/>
          <w:sz w:val="28"/>
          <w:szCs w:val="28"/>
        </w:rPr>
        <w:t>系统的IP地址</w:t>
      </w:r>
      <w:r>
        <w:rPr>
          <w:rFonts w:hint="eastAsia" w:ascii="宋体" w:hAnsi="宋体" w:eastAsia="宋体" w:cs="宋体"/>
          <w:color w:val="auto"/>
          <w:sz w:val="28"/>
          <w:szCs w:val="28"/>
          <w:lang w:val="en-US" w:eastAsia="zh-CN"/>
        </w:rPr>
        <w:t>和</w:t>
      </w:r>
      <w:r>
        <w:rPr>
          <w:rFonts w:hint="eastAsia" w:ascii="宋体" w:hAnsi="宋体" w:eastAsia="宋体" w:cs="宋体"/>
          <w:color w:val="auto"/>
          <w:sz w:val="28"/>
          <w:szCs w:val="28"/>
        </w:rPr>
        <w:t>使用电脑数量。</w:t>
      </w:r>
    </w:p>
    <w:p w14:paraId="530D3F3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1.2.4 确保甲方能下载或为甲方下载</w:t>
      </w:r>
      <w:r>
        <w:rPr>
          <w:rFonts w:hint="eastAsia" w:ascii="宋体" w:hAnsi="宋体" w:eastAsia="宋体" w:cs="宋体"/>
          <w:color w:val="auto"/>
          <w:sz w:val="28"/>
          <w:szCs w:val="28"/>
        </w:rPr>
        <w:t>儿童健康管理系统报告</w:t>
      </w:r>
      <w:r>
        <w:rPr>
          <w:rFonts w:hint="eastAsia" w:ascii="宋体" w:hAnsi="宋体" w:eastAsia="宋体" w:cs="宋体"/>
          <w:color w:val="auto"/>
          <w:sz w:val="28"/>
          <w:szCs w:val="28"/>
          <w:lang w:val="en-US" w:eastAsia="zh-CN"/>
        </w:rPr>
        <w:t>等相关数据</w:t>
      </w:r>
      <w:r>
        <w:rPr>
          <w:rFonts w:hint="eastAsia" w:ascii="宋体" w:hAnsi="宋体" w:eastAsia="宋体" w:cs="宋体"/>
          <w:color w:val="auto"/>
          <w:sz w:val="28"/>
          <w:szCs w:val="28"/>
          <w:lang w:eastAsia="zh-CN"/>
        </w:rPr>
        <w:t>。</w:t>
      </w:r>
    </w:p>
    <w:p w14:paraId="79CA440C">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eastAsia" w:ascii="宋体" w:hAnsi="宋体" w:eastAsia="宋体" w:cs="宋体"/>
          <w:b w:val="0"/>
          <w:bCs/>
          <w:color w:val="auto"/>
          <w:kern w:val="2"/>
          <w:sz w:val="28"/>
          <w:szCs w:val="28"/>
          <w:lang w:val="en-US" w:eastAsia="zh-CN" w:bidi="ar-SA"/>
        </w:rPr>
      </w:pPr>
      <w:r>
        <w:rPr>
          <w:rFonts w:hint="eastAsia" w:ascii="宋体" w:hAnsi="宋体" w:eastAsia="宋体" w:cs="宋体"/>
          <w:color w:val="auto"/>
          <w:sz w:val="28"/>
          <w:szCs w:val="28"/>
          <w:lang w:val="en-US" w:eastAsia="zh-CN"/>
        </w:rPr>
        <w:t xml:space="preserve">1.2.5 </w:t>
      </w:r>
      <w:r>
        <w:rPr>
          <w:rFonts w:hint="eastAsia" w:ascii="宋体" w:hAnsi="宋体" w:eastAsia="宋体" w:cs="宋体"/>
          <w:b w:val="0"/>
          <w:bCs/>
          <w:color w:val="auto"/>
          <w:kern w:val="2"/>
          <w:sz w:val="28"/>
          <w:szCs w:val="28"/>
          <w:lang w:val="en-US" w:eastAsia="zh-CN" w:bidi="ar-SA"/>
        </w:rPr>
        <w:t>乙方负责对甲方的工作人员进行免费培训。</w:t>
      </w:r>
    </w:p>
    <w:p w14:paraId="185D67A4">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1.2.6 本协议期限届满时</w:t>
      </w:r>
      <w:r>
        <w:rPr>
          <w:rFonts w:hint="eastAsia" w:ascii="宋体" w:hAnsi="宋体" w:eastAsia="宋体" w:cs="宋体"/>
          <w:color w:val="auto"/>
          <w:sz w:val="28"/>
          <w:szCs w:val="28"/>
        </w:rPr>
        <w:t>，无条件</w:t>
      </w:r>
      <w:r>
        <w:rPr>
          <w:rFonts w:hint="eastAsia" w:ascii="宋体" w:hAnsi="宋体" w:eastAsia="宋体" w:cs="宋体"/>
          <w:color w:val="auto"/>
          <w:sz w:val="28"/>
          <w:szCs w:val="28"/>
          <w:lang w:val="en-US" w:eastAsia="zh-CN"/>
        </w:rPr>
        <w:t>导出甲方</w:t>
      </w:r>
      <w:r>
        <w:rPr>
          <w:rFonts w:hint="eastAsia" w:ascii="宋体" w:hAnsi="宋体" w:eastAsia="宋体" w:cs="宋体"/>
          <w:color w:val="auto"/>
          <w:sz w:val="28"/>
          <w:szCs w:val="28"/>
        </w:rPr>
        <w:t>在使用</w:t>
      </w:r>
      <w:r>
        <w:rPr>
          <w:rFonts w:hint="eastAsia" w:ascii="宋体" w:hAnsi="宋体" w:eastAsia="宋体" w:cs="宋体"/>
          <w:color w:val="auto"/>
          <w:sz w:val="28"/>
          <w:szCs w:val="28"/>
          <w:lang w:val="en-US" w:eastAsia="zh-CN"/>
        </w:rPr>
        <w:t>该软件</w:t>
      </w:r>
      <w:r>
        <w:rPr>
          <w:rFonts w:hint="eastAsia" w:ascii="宋体" w:hAnsi="宋体" w:eastAsia="宋体" w:cs="宋体"/>
          <w:color w:val="auto"/>
          <w:sz w:val="28"/>
          <w:szCs w:val="28"/>
        </w:rPr>
        <w:t>系统过程中产生的</w:t>
      </w:r>
      <w:r>
        <w:rPr>
          <w:rFonts w:hint="eastAsia" w:ascii="宋体" w:hAnsi="宋体" w:eastAsia="宋体" w:cs="宋体"/>
          <w:color w:val="auto"/>
          <w:sz w:val="28"/>
          <w:szCs w:val="28"/>
          <w:lang w:val="en-US" w:eastAsia="zh-CN"/>
        </w:rPr>
        <w:t>全部</w:t>
      </w:r>
      <w:r>
        <w:rPr>
          <w:rFonts w:hint="eastAsia" w:ascii="宋体" w:hAnsi="宋体" w:eastAsia="宋体" w:cs="宋体"/>
          <w:color w:val="auto"/>
          <w:sz w:val="28"/>
          <w:szCs w:val="28"/>
        </w:rPr>
        <w:t>数据</w:t>
      </w:r>
      <w:r>
        <w:rPr>
          <w:rFonts w:hint="eastAsia" w:ascii="宋体" w:hAnsi="宋体" w:eastAsia="宋体" w:cs="宋体"/>
          <w:color w:val="auto"/>
          <w:sz w:val="28"/>
          <w:szCs w:val="28"/>
          <w:lang w:val="en-US" w:eastAsia="zh-CN"/>
        </w:rPr>
        <w:t>并提供给甲方储存。</w:t>
      </w:r>
    </w:p>
    <w:p w14:paraId="059FD63F">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1.2.7 乙方负责系统维护，每天8:30—18:00为甲方提供远程在线技术咨询、解答和处理服务，乙方指定服务电话</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 xml:space="preserve"> 。如乙方无法通过远程服务无法消除故障，应在接到甲方通知（包括电话）时起</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小时内指派专人至甲方现场技术处理。</w:t>
      </w:r>
    </w:p>
    <w:p w14:paraId="19E9E8EE">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color w:val="auto"/>
          <w:sz w:val="28"/>
          <w:szCs w:val="28"/>
          <w:lang w:val="en-US" w:eastAsia="zh-CN"/>
        </w:rPr>
        <w:t xml:space="preserve">1.2.8 </w:t>
      </w:r>
      <w:r>
        <w:rPr>
          <w:rFonts w:hint="eastAsia" w:ascii="宋体" w:hAnsi="宋体" w:eastAsia="宋体" w:cs="宋体"/>
          <w:b w:val="0"/>
          <w:bCs/>
          <w:color w:val="auto"/>
          <w:sz w:val="28"/>
          <w:szCs w:val="28"/>
          <w:lang w:val="en-US" w:eastAsia="zh-CN"/>
        </w:rPr>
        <w:t>乙方指派</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lang w:val="en-US" w:eastAsia="zh-CN"/>
        </w:rPr>
        <w:t>（联系电话</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lang w:val="en-US" w:eastAsia="zh-CN"/>
        </w:rPr>
        <w:t>）负责本协议履行的具体事宜。</w:t>
      </w:r>
    </w:p>
    <w:p w14:paraId="7ABB7F17">
      <w:pPr>
        <w:pStyle w:val="8"/>
        <w:keepNext w:val="0"/>
        <w:keepLines w:val="0"/>
        <w:pageBreakBefore w:val="0"/>
        <w:kinsoku/>
        <w:wordWrap/>
        <w:overflowPunct/>
        <w:topLinePunct w:val="0"/>
        <w:autoSpaceDE/>
        <w:autoSpaceDN/>
        <w:bidi w:val="0"/>
        <w:adjustRightInd/>
        <w:snapToGrid/>
        <w:spacing w:after="0" w:line="500" w:lineRule="exact"/>
        <w:ind w:left="0" w:leftChars="0"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二、服务期限</w:t>
      </w:r>
    </w:p>
    <w:p w14:paraId="7CB00A76">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服务期限为</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lang w:val="en-US" w:eastAsia="zh-CN"/>
        </w:rPr>
        <w:t>个月，自</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rPr>
        <w:t>年</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rPr>
        <w:t>月</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rPr>
        <w:t>日</w:t>
      </w:r>
      <w:r>
        <w:rPr>
          <w:rFonts w:hint="eastAsia" w:ascii="宋体" w:hAnsi="宋体" w:eastAsia="宋体" w:cs="宋体"/>
          <w:b w:val="0"/>
          <w:bCs/>
          <w:color w:val="auto"/>
          <w:sz w:val="28"/>
          <w:szCs w:val="28"/>
          <w:lang w:val="en-US" w:eastAsia="zh-CN"/>
        </w:rPr>
        <w:t>起</w:t>
      </w:r>
      <w:r>
        <w:rPr>
          <w:rFonts w:hint="eastAsia" w:ascii="宋体" w:hAnsi="宋体" w:eastAsia="宋体" w:cs="宋体"/>
          <w:b w:val="0"/>
          <w:bCs/>
          <w:color w:val="auto"/>
          <w:sz w:val="28"/>
          <w:szCs w:val="28"/>
        </w:rPr>
        <w:t>至</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rPr>
        <w:t>年</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rPr>
        <w:t>月</w:t>
      </w:r>
      <w:r>
        <w:rPr>
          <w:rFonts w:hint="eastAsia" w:ascii="宋体" w:hAnsi="宋体" w:eastAsia="宋体" w:cs="宋体"/>
          <w:b w:val="0"/>
          <w:bCs/>
          <w:color w:val="auto"/>
          <w:sz w:val="28"/>
          <w:szCs w:val="28"/>
          <w:u w:val="single"/>
          <w:lang w:val="en-US" w:eastAsia="zh-CN"/>
        </w:rPr>
        <w:t xml:space="preserve">   </w:t>
      </w:r>
      <w:r>
        <w:rPr>
          <w:rFonts w:hint="eastAsia" w:ascii="宋体" w:hAnsi="宋体" w:eastAsia="宋体" w:cs="宋体"/>
          <w:b w:val="0"/>
          <w:bCs/>
          <w:color w:val="auto"/>
          <w:sz w:val="28"/>
          <w:szCs w:val="28"/>
        </w:rPr>
        <w:t>日</w:t>
      </w:r>
      <w:r>
        <w:rPr>
          <w:rFonts w:hint="eastAsia" w:ascii="宋体" w:hAnsi="宋体" w:eastAsia="宋体" w:cs="宋体"/>
          <w:b w:val="0"/>
          <w:bCs/>
          <w:color w:val="auto"/>
          <w:sz w:val="28"/>
          <w:szCs w:val="28"/>
          <w:lang w:val="en-US" w:eastAsia="zh-CN"/>
        </w:rPr>
        <w:t>止</w:t>
      </w:r>
      <w:r>
        <w:rPr>
          <w:rFonts w:hint="eastAsia" w:ascii="宋体" w:hAnsi="宋体" w:eastAsia="宋体" w:cs="宋体"/>
          <w:b w:val="0"/>
          <w:bCs/>
          <w:color w:val="auto"/>
          <w:sz w:val="28"/>
          <w:szCs w:val="28"/>
        </w:rPr>
        <w:t>。</w:t>
      </w:r>
    </w:p>
    <w:p w14:paraId="5D93D6C1">
      <w:pPr>
        <w:keepNext w:val="0"/>
        <w:keepLines w:val="0"/>
        <w:pageBreakBefore w:val="0"/>
        <w:widowControl/>
        <w:kinsoku/>
        <w:wordWrap/>
        <w:overflowPunct/>
        <w:topLinePunct w:val="0"/>
        <w:autoSpaceDE/>
        <w:autoSpaceDN/>
        <w:bidi w:val="0"/>
        <w:adjustRightInd/>
        <w:snapToGrid/>
        <w:spacing w:line="500" w:lineRule="exact"/>
        <w:ind w:left="0" w:leftChars="0" w:firstLine="562" w:firstLineChars="200"/>
        <w:jc w:val="left"/>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三、费用标准</w:t>
      </w:r>
      <w:r>
        <w:rPr>
          <w:rFonts w:hint="eastAsia" w:ascii="宋体" w:hAnsi="宋体" w:eastAsia="宋体" w:cs="宋体"/>
          <w:b/>
          <w:bCs/>
          <w:color w:val="auto"/>
          <w:sz w:val="28"/>
          <w:szCs w:val="28"/>
        </w:rPr>
        <w:t>及支付</w:t>
      </w:r>
      <w:r>
        <w:rPr>
          <w:rFonts w:hint="eastAsia" w:ascii="宋体" w:hAnsi="宋体" w:eastAsia="宋体" w:cs="宋体"/>
          <w:b/>
          <w:bCs/>
          <w:color w:val="auto"/>
          <w:sz w:val="28"/>
          <w:szCs w:val="28"/>
          <w:lang w:val="en-US" w:eastAsia="zh-CN"/>
        </w:rPr>
        <w:t>时间、</w:t>
      </w:r>
      <w:r>
        <w:rPr>
          <w:rFonts w:hint="eastAsia" w:ascii="宋体" w:hAnsi="宋体" w:eastAsia="宋体" w:cs="宋体"/>
          <w:b/>
          <w:bCs/>
          <w:color w:val="auto"/>
          <w:sz w:val="28"/>
          <w:szCs w:val="28"/>
        </w:rPr>
        <w:t>方式</w:t>
      </w:r>
    </w:p>
    <w:p w14:paraId="027E5814">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3.1 本</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总费用合计</w:t>
      </w:r>
      <w:r>
        <w:rPr>
          <w:rFonts w:hint="eastAsia" w:ascii="宋体" w:hAnsi="宋体" w:eastAsia="宋体" w:cs="宋体"/>
          <w:color w:val="auto"/>
          <w:sz w:val="28"/>
          <w:szCs w:val="28"/>
        </w:rPr>
        <w:t>人民币大写</w:t>
      </w:r>
      <w:r>
        <w:rPr>
          <w:rFonts w:hint="eastAsia" w:ascii="宋体" w:hAnsi="宋体" w:eastAsia="宋体" w:cs="宋体"/>
          <w:color w:val="auto"/>
          <w:sz w:val="28"/>
          <w:szCs w:val="28"/>
          <w:u w:val="none"/>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b w:val="0"/>
          <w:bCs/>
          <w:color w:val="auto"/>
          <w:sz w:val="28"/>
          <w:szCs w:val="28"/>
        </w:rPr>
        <w:t>元整</w:t>
      </w:r>
      <w:r>
        <w:rPr>
          <w:rFonts w:hint="eastAsia" w:ascii="宋体" w:hAnsi="宋体" w:eastAsia="宋体" w:cs="宋体"/>
          <w:b w:val="0"/>
          <w:bCs/>
          <w:color w:val="auto"/>
          <w:sz w:val="28"/>
          <w:szCs w:val="28"/>
          <w:lang w:eastAsia="zh-CN"/>
        </w:rPr>
        <w:t>，</w:t>
      </w:r>
      <w:r>
        <w:rPr>
          <w:rFonts w:hint="eastAsia" w:ascii="宋体" w:hAnsi="宋体" w:eastAsia="宋体" w:cs="宋体"/>
          <w:color w:val="auto"/>
          <w:sz w:val="28"/>
          <w:szCs w:val="28"/>
          <w:lang w:val="en-US" w:eastAsia="zh-CN"/>
        </w:rPr>
        <w:t>该费用标准已包含软件使用费、维护费、开发费、升级费、接口费、人员工资、加班费、</w:t>
      </w:r>
      <w:r>
        <w:rPr>
          <w:rFonts w:hint="eastAsia" w:ascii="宋体" w:hAnsi="宋体" w:cs="宋体"/>
          <w:color w:val="auto"/>
          <w:sz w:val="28"/>
          <w:szCs w:val="28"/>
          <w:lang w:val="en-US" w:eastAsia="zh-CN"/>
        </w:rPr>
        <w:t>交通费</w:t>
      </w:r>
      <w:r>
        <w:rPr>
          <w:rFonts w:hint="eastAsia" w:ascii="宋体" w:hAnsi="宋体" w:eastAsia="宋体" w:cs="宋体"/>
          <w:color w:val="auto"/>
          <w:sz w:val="28"/>
          <w:szCs w:val="28"/>
          <w:lang w:val="en-US" w:eastAsia="zh-CN"/>
        </w:rPr>
        <w:t>、</w:t>
      </w:r>
      <w:r>
        <w:rPr>
          <w:rFonts w:hint="eastAsia" w:ascii="宋体" w:hAnsi="宋体" w:cs="宋体"/>
          <w:color w:val="auto"/>
          <w:sz w:val="28"/>
          <w:szCs w:val="28"/>
          <w:lang w:val="en-US" w:eastAsia="zh-CN"/>
        </w:rPr>
        <w:t>食宿费、</w:t>
      </w:r>
      <w:r>
        <w:rPr>
          <w:rFonts w:hint="eastAsia" w:ascii="宋体" w:hAnsi="宋体" w:eastAsia="宋体" w:cs="宋体"/>
          <w:color w:val="auto"/>
          <w:sz w:val="28"/>
          <w:szCs w:val="28"/>
          <w:lang w:val="en-US" w:eastAsia="zh-CN"/>
        </w:rPr>
        <w:t>税费等</w:t>
      </w:r>
      <w:r>
        <w:rPr>
          <w:rFonts w:hint="eastAsia" w:ascii="宋体" w:hAnsi="宋体" w:cs="宋体"/>
          <w:color w:val="auto"/>
          <w:sz w:val="28"/>
          <w:szCs w:val="28"/>
          <w:lang w:val="en-US" w:eastAsia="zh-CN"/>
        </w:rPr>
        <w:t>乙方履行本协议所需的</w:t>
      </w:r>
      <w:r>
        <w:rPr>
          <w:rFonts w:hint="eastAsia" w:ascii="宋体" w:hAnsi="宋体" w:eastAsia="宋体" w:cs="宋体"/>
          <w:color w:val="auto"/>
          <w:sz w:val="28"/>
          <w:szCs w:val="28"/>
          <w:lang w:val="en-US" w:eastAsia="zh-CN"/>
        </w:rPr>
        <w:t>全部费用，除该费用和本协议另有约定外，甲方不再就本协议约定范围的服务额外向乙方支付任何费用</w:t>
      </w:r>
      <w:r>
        <w:rPr>
          <w:rFonts w:hint="eastAsia" w:ascii="宋体" w:hAnsi="宋体" w:eastAsia="宋体" w:cs="宋体"/>
          <w:color w:val="auto"/>
          <w:sz w:val="28"/>
          <w:szCs w:val="28"/>
        </w:rPr>
        <w:t>。</w:t>
      </w:r>
    </w:p>
    <w:p w14:paraId="6AAC3569">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3.2 </w:t>
      </w:r>
      <w:r>
        <w:rPr>
          <w:rFonts w:hint="eastAsia" w:ascii="宋体" w:hAnsi="宋体" w:cs="宋体"/>
          <w:color w:val="auto"/>
          <w:sz w:val="28"/>
          <w:szCs w:val="28"/>
          <w:highlight w:val="none"/>
          <w:lang w:val="en-US" w:eastAsia="zh-CN"/>
        </w:rPr>
        <w:t>合同签订之日起30日内甲方向乙方一次性支付所有价款。</w:t>
      </w:r>
    </w:p>
    <w:p w14:paraId="0FD4F11E">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3.3 甲方通过银行转账方式向乙方支付服务费用，乙方指定收款银行账户：户名：</w:t>
      </w:r>
      <w:r>
        <w:rPr>
          <w:rFonts w:hint="eastAsia" w:ascii="宋体" w:hAnsi="宋体" w:eastAsia="宋体" w:cs="宋体"/>
          <w:b w:val="0"/>
          <w:bCs/>
          <w:color w:val="auto"/>
          <w:sz w:val="28"/>
          <w:szCs w:val="28"/>
          <w:u w:val="single"/>
        </w:rPr>
        <w:t>湖南尔葆健康科技有限公司</w:t>
      </w:r>
      <w:r>
        <w:rPr>
          <w:rFonts w:hint="eastAsia" w:ascii="宋体" w:hAnsi="宋体" w:eastAsia="宋体" w:cs="宋体"/>
          <w:b w:val="0"/>
          <w:bCs/>
          <w:color w:val="auto"/>
          <w:sz w:val="28"/>
          <w:szCs w:val="28"/>
          <w:lang w:val="en-US" w:eastAsia="zh-CN"/>
        </w:rPr>
        <w:t>，开户行：</w:t>
      </w:r>
      <w:r>
        <w:rPr>
          <w:rFonts w:hint="eastAsia" w:ascii="宋体" w:hAnsi="宋体" w:eastAsia="宋体" w:cs="宋体"/>
          <w:b w:val="0"/>
          <w:bCs/>
          <w:color w:val="auto"/>
          <w:sz w:val="28"/>
          <w:szCs w:val="28"/>
          <w:u w:val="single"/>
        </w:rPr>
        <w:t>招商银行股份有限公司长沙窑岭支行</w:t>
      </w:r>
      <w:r>
        <w:rPr>
          <w:rFonts w:hint="eastAsia" w:ascii="宋体" w:hAnsi="宋体" w:eastAsia="宋体" w:cs="宋体"/>
          <w:b w:val="0"/>
          <w:bCs/>
          <w:color w:val="auto"/>
          <w:sz w:val="28"/>
          <w:szCs w:val="28"/>
          <w:lang w:val="en-US" w:eastAsia="zh-CN"/>
        </w:rPr>
        <w:t>，账号：</w:t>
      </w:r>
      <w:r>
        <w:rPr>
          <w:rFonts w:hint="eastAsia" w:ascii="宋体" w:hAnsi="宋体" w:eastAsia="宋体" w:cs="宋体"/>
          <w:b w:val="0"/>
          <w:bCs/>
          <w:color w:val="auto"/>
          <w:sz w:val="28"/>
          <w:szCs w:val="28"/>
          <w:u w:val="single"/>
        </w:rPr>
        <w:t>7319 0514 8610 711</w:t>
      </w:r>
      <w:r>
        <w:rPr>
          <w:rFonts w:hint="eastAsia" w:ascii="宋体" w:hAnsi="宋体" w:eastAsia="宋体" w:cs="宋体"/>
          <w:b/>
          <w:color w:val="auto"/>
          <w:sz w:val="28"/>
          <w:szCs w:val="28"/>
          <w:lang w:eastAsia="zh-CN"/>
        </w:rPr>
        <w:t>。</w:t>
      </w:r>
    </w:p>
    <w:p w14:paraId="63AD7C33">
      <w:pPr>
        <w:pStyle w:val="8"/>
        <w:keepNext w:val="0"/>
        <w:keepLines w:val="0"/>
        <w:pageBreakBefore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3.4乙方应在甲方每次付款前，向甲方提供以乙方自己名义开具的与该次支付费用等额的增值税普通发票；如乙方未及时提供发票，甲方有权顺延付款，由此产生的责任均由乙方自行承担。</w:t>
      </w:r>
    </w:p>
    <w:p w14:paraId="42C73415">
      <w:pPr>
        <w:pStyle w:val="17"/>
        <w:keepNext w:val="0"/>
        <w:keepLines w:val="0"/>
        <w:pageBreakBefore w:val="0"/>
        <w:widowControl/>
        <w:numPr>
          <w:ilvl w:val="0"/>
          <w:numId w:val="0"/>
        </w:numPr>
        <w:kinsoku/>
        <w:wordWrap/>
        <w:overflowPunct/>
        <w:topLinePunct w:val="0"/>
        <w:autoSpaceDE/>
        <w:autoSpaceDN/>
        <w:bidi w:val="0"/>
        <w:adjustRightInd/>
        <w:snapToGrid/>
        <w:spacing w:line="500" w:lineRule="exact"/>
        <w:ind w:left="0" w:leftChars="0" w:firstLine="562" w:firstLineChars="200"/>
        <w:jc w:val="left"/>
        <w:textAlignment w:val="auto"/>
        <w:rPr>
          <w:rFonts w:hint="default"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四、甲方职责</w:t>
      </w:r>
    </w:p>
    <w:p w14:paraId="42033DCA">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甲方应确保本单位计算机及网络系统和浏览器（建议360浏览器极速模式）能正常工作，自行解决计算机及网络接入问题。</w:t>
      </w:r>
    </w:p>
    <w:p w14:paraId="13FA96A9">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2" w:firstLineChars="200"/>
        <w:textAlignment w:val="auto"/>
        <w:rPr>
          <w:rFonts w:hint="default" w:ascii="宋体" w:hAnsi="宋体" w:eastAsia="宋体" w:cs="宋体"/>
          <w:b w:val="0"/>
          <w:bCs/>
          <w:color w:val="auto"/>
          <w:kern w:val="2"/>
          <w:sz w:val="28"/>
          <w:szCs w:val="28"/>
          <w:lang w:val="en-US" w:eastAsia="zh-CN" w:bidi="ar-SA"/>
        </w:rPr>
      </w:pPr>
      <w:r>
        <w:rPr>
          <w:rFonts w:hint="eastAsia" w:ascii="宋体" w:hAnsi="宋体" w:eastAsia="宋体" w:cs="宋体"/>
          <w:b/>
          <w:bCs w:val="0"/>
          <w:color w:val="auto"/>
          <w:kern w:val="2"/>
          <w:sz w:val="28"/>
          <w:szCs w:val="28"/>
          <w:lang w:val="en-US" w:eastAsia="zh-CN" w:bidi="ar-SA"/>
        </w:rPr>
        <w:t>五、风险承担</w:t>
      </w:r>
    </w:p>
    <w:p w14:paraId="1C5F3F0C">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b w:val="0"/>
          <w:bCs/>
          <w:color w:val="auto"/>
          <w:kern w:val="2"/>
          <w:sz w:val="28"/>
          <w:szCs w:val="28"/>
          <w:lang w:val="en-US" w:eastAsia="zh-CN" w:bidi="ar-SA"/>
        </w:rPr>
      </w:pPr>
      <w:r>
        <w:rPr>
          <w:rFonts w:hint="eastAsia" w:ascii="宋体" w:hAnsi="宋体" w:eastAsia="宋体" w:cs="宋体"/>
          <w:b w:val="0"/>
          <w:bCs/>
          <w:color w:val="auto"/>
          <w:kern w:val="2"/>
          <w:sz w:val="28"/>
          <w:szCs w:val="28"/>
          <w:lang w:val="en-US" w:eastAsia="zh-CN" w:bidi="ar-SA"/>
        </w:rPr>
        <w:t>5.1 乙方履行本</w:t>
      </w:r>
      <w:r>
        <w:rPr>
          <w:rFonts w:hint="eastAsia" w:ascii="宋体" w:hAnsi="宋体" w:cs="宋体"/>
          <w:b w:val="0"/>
          <w:bCs/>
          <w:color w:val="auto"/>
          <w:kern w:val="2"/>
          <w:sz w:val="28"/>
          <w:szCs w:val="28"/>
          <w:lang w:val="en-US" w:eastAsia="zh-CN" w:bidi="ar-SA"/>
        </w:rPr>
        <w:t>协议</w:t>
      </w:r>
      <w:r>
        <w:rPr>
          <w:rFonts w:hint="eastAsia" w:ascii="宋体" w:hAnsi="宋体" w:eastAsia="宋体" w:cs="宋体"/>
          <w:b w:val="0"/>
          <w:bCs/>
          <w:color w:val="auto"/>
          <w:kern w:val="2"/>
          <w:sz w:val="28"/>
          <w:szCs w:val="28"/>
          <w:lang w:val="en-US" w:eastAsia="zh-CN" w:bidi="ar-SA"/>
        </w:rPr>
        <w:t>过程中发生事故，包括但不限于在软件安装、调试及维护、维修过程中发生事故，给甲方、乙方或第三方人身、财产造成的所有损失，均由乙方负责处理和承担全部法律责任、经济赔偿。</w:t>
      </w:r>
    </w:p>
    <w:p w14:paraId="63778F59">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b w:val="0"/>
          <w:bCs/>
          <w:color w:val="auto"/>
          <w:kern w:val="2"/>
          <w:sz w:val="28"/>
          <w:szCs w:val="28"/>
          <w:lang w:val="en-US" w:eastAsia="zh-CN" w:bidi="ar-SA"/>
        </w:rPr>
      </w:pPr>
      <w:r>
        <w:rPr>
          <w:rFonts w:hint="eastAsia" w:ascii="宋体" w:hAnsi="宋体" w:eastAsia="宋体" w:cs="宋体"/>
          <w:b w:val="0"/>
          <w:bCs/>
          <w:color w:val="auto"/>
          <w:kern w:val="2"/>
          <w:sz w:val="28"/>
          <w:szCs w:val="28"/>
          <w:lang w:val="en-US" w:eastAsia="zh-CN" w:bidi="ar-SA"/>
        </w:rPr>
        <w:t>5.2 如甲方因乙方原因涉及纠纷、诉讼或被处以行政处罚，由乙方承担甲方因纠纷、诉讼、罚款等造成的全部经济损失。</w:t>
      </w:r>
    </w:p>
    <w:p w14:paraId="38A96C14">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2" w:firstLineChars="200"/>
        <w:textAlignment w:val="auto"/>
        <w:rPr>
          <w:rFonts w:hint="default" w:ascii="宋体" w:hAnsi="宋体" w:eastAsia="宋体" w:cs="宋体"/>
          <w:b/>
          <w:bCs w:val="0"/>
          <w:color w:val="auto"/>
          <w:kern w:val="2"/>
          <w:sz w:val="28"/>
          <w:szCs w:val="28"/>
          <w:lang w:val="en-US" w:eastAsia="zh-CN" w:bidi="ar-SA"/>
        </w:rPr>
      </w:pPr>
      <w:r>
        <w:rPr>
          <w:rFonts w:hint="eastAsia" w:ascii="宋体" w:hAnsi="宋体" w:eastAsia="宋体" w:cs="宋体"/>
          <w:b/>
          <w:bCs w:val="0"/>
          <w:color w:val="auto"/>
          <w:kern w:val="2"/>
          <w:sz w:val="28"/>
          <w:szCs w:val="28"/>
          <w:lang w:val="en-US" w:eastAsia="zh-CN" w:bidi="ar-SA"/>
        </w:rPr>
        <w:t>六、廉洁条款</w:t>
      </w:r>
    </w:p>
    <w:p w14:paraId="4049DC32">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default" w:ascii="宋体" w:hAnsi="宋体" w:eastAsia="宋体" w:cs="宋体"/>
          <w:b w:val="0"/>
          <w:bCs/>
          <w:color w:val="auto"/>
          <w:kern w:val="2"/>
          <w:sz w:val="28"/>
          <w:szCs w:val="28"/>
          <w:lang w:val="en-US" w:eastAsia="zh-CN" w:bidi="ar-SA"/>
        </w:rPr>
      </w:pPr>
      <w:r>
        <w:rPr>
          <w:rFonts w:hint="eastAsia" w:ascii="宋体" w:hAnsi="宋体" w:eastAsia="宋体" w:cs="宋体"/>
          <w:b w:val="0"/>
          <w:bCs/>
          <w:color w:val="auto"/>
          <w:kern w:val="2"/>
          <w:sz w:val="28"/>
          <w:szCs w:val="28"/>
          <w:lang w:val="en-US" w:eastAsia="zh-CN" w:bidi="ar-SA"/>
        </w:rPr>
        <w:t>6</w:t>
      </w:r>
      <w:r>
        <w:rPr>
          <w:rFonts w:hint="default" w:ascii="宋体" w:hAnsi="宋体" w:eastAsia="宋体" w:cs="宋体"/>
          <w:b w:val="0"/>
          <w:bCs/>
          <w:color w:val="auto"/>
          <w:kern w:val="2"/>
          <w:sz w:val="28"/>
          <w:szCs w:val="28"/>
          <w:lang w:val="en-US" w:eastAsia="zh-CN" w:bidi="ar-SA"/>
        </w:rPr>
        <w:t>.1 乙方应严格遵守国家相关法律法规，涉及</w:t>
      </w:r>
      <w:r>
        <w:rPr>
          <w:rFonts w:hint="eastAsia" w:ascii="宋体" w:hAnsi="宋体" w:cs="宋体"/>
          <w:b w:val="0"/>
          <w:bCs/>
          <w:color w:val="auto"/>
          <w:kern w:val="2"/>
          <w:sz w:val="28"/>
          <w:szCs w:val="28"/>
          <w:lang w:val="en-US" w:eastAsia="zh-CN" w:bidi="ar-SA"/>
        </w:rPr>
        <w:t>协议</w:t>
      </w:r>
      <w:r>
        <w:rPr>
          <w:rFonts w:hint="default" w:ascii="宋体" w:hAnsi="宋体" w:eastAsia="宋体" w:cs="宋体"/>
          <w:b w:val="0"/>
          <w:bCs/>
          <w:color w:val="auto"/>
          <w:kern w:val="2"/>
          <w:sz w:val="28"/>
          <w:szCs w:val="28"/>
          <w:lang w:val="en-US" w:eastAsia="zh-CN" w:bidi="ar-SA"/>
        </w:rPr>
        <w:t>的有关业务活动必须坚持公开、公平、公正、诚信原则，不得为获取不正当利益，损害国家、集体和甲方利益。</w:t>
      </w:r>
    </w:p>
    <w:p w14:paraId="29E2A3A4">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2" w:firstLineChars="200"/>
        <w:textAlignment w:val="auto"/>
        <w:rPr>
          <w:rFonts w:hint="default" w:ascii="宋体" w:hAnsi="宋体" w:eastAsia="宋体" w:cs="宋体"/>
          <w:b/>
          <w:bCs w:val="0"/>
          <w:color w:val="auto"/>
          <w:kern w:val="2"/>
          <w:sz w:val="28"/>
          <w:szCs w:val="28"/>
          <w:u w:val="single"/>
          <w:lang w:val="en-US" w:eastAsia="zh-CN" w:bidi="ar-SA"/>
        </w:rPr>
      </w:pPr>
      <w:r>
        <w:rPr>
          <w:rFonts w:hint="eastAsia" w:ascii="宋体" w:hAnsi="宋体" w:eastAsia="宋体" w:cs="宋体"/>
          <w:b/>
          <w:bCs w:val="0"/>
          <w:color w:val="auto"/>
          <w:kern w:val="2"/>
          <w:sz w:val="28"/>
          <w:szCs w:val="28"/>
          <w:u w:val="single"/>
          <w:lang w:val="en-US" w:eastAsia="zh-CN" w:bidi="ar-SA"/>
        </w:rPr>
        <w:t>6</w:t>
      </w:r>
      <w:r>
        <w:rPr>
          <w:rFonts w:hint="default" w:ascii="宋体" w:hAnsi="宋体" w:eastAsia="宋体" w:cs="宋体"/>
          <w:b/>
          <w:bCs w:val="0"/>
          <w:color w:val="auto"/>
          <w:kern w:val="2"/>
          <w:sz w:val="28"/>
          <w:szCs w:val="28"/>
          <w:u w:val="single"/>
          <w:lang w:val="en-US" w:eastAsia="zh-CN" w:bidi="ar-SA"/>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w:t>
      </w:r>
      <w:r>
        <w:rPr>
          <w:rFonts w:hint="eastAsia" w:ascii="宋体" w:hAnsi="宋体" w:cs="宋体"/>
          <w:b/>
          <w:bCs w:val="0"/>
          <w:color w:val="auto"/>
          <w:kern w:val="2"/>
          <w:sz w:val="28"/>
          <w:szCs w:val="28"/>
          <w:u w:val="single"/>
          <w:lang w:val="en-US" w:eastAsia="zh-CN" w:bidi="ar-SA"/>
        </w:rPr>
        <w:t>协议</w:t>
      </w:r>
      <w:r>
        <w:rPr>
          <w:rFonts w:hint="default" w:ascii="宋体" w:hAnsi="宋体" w:eastAsia="宋体" w:cs="宋体"/>
          <w:b/>
          <w:bCs w:val="0"/>
          <w:color w:val="auto"/>
          <w:kern w:val="2"/>
          <w:sz w:val="28"/>
          <w:szCs w:val="28"/>
          <w:u w:val="single"/>
          <w:lang w:val="en-US" w:eastAsia="zh-CN" w:bidi="ar-SA"/>
        </w:rPr>
        <w:t>约定向甲方支付违反廉洁条款的惩罚性违约金。</w:t>
      </w:r>
    </w:p>
    <w:p w14:paraId="16E180CD">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2" w:firstLineChars="200"/>
        <w:textAlignment w:val="auto"/>
        <w:rPr>
          <w:rFonts w:hint="eastAsia" w:ascii="宋体" w:hAnsi="宋体" w:eastAsia="宋体" w:cs="宋体"/>
          <w:b/>
          <w:bCs w:val="0"/>
          <w:color w:val="auto"/>
          <w:kern w:val="2"/>
          <w:sz w:val="28"/>
          <w:szCs w:val="28"/>
          <w:lang w:val="en-US" w:eastAsia="zh-CN" w:bidi="ar-SA"/>
        </w:rPr>
      </w:pPr>
      <w:r>
        <w:rPr>
          <w:rFonts w:hint="eastAsia" w:ascii="宋体" w:hAnsi="宋体" w:eastAsia="宋体" w:cs="宋体"/>
          <w:b/>
          <w:bCs w:val="0"/>
          <w:color w:val="auto"/>
          <w:kern w:val="2"/>
          <w:sz w:val="28"/>
          <w:szCs w:val="28"/>
          <w:lang w:val="en-US" w:eastAsia="zh-CN" w:bidi="ar-SA"/>
        </w:rPr>
        <w:t>七、知识产权</w:t>
      </w:r>
    </w:p>
    <w:p w14:paraId="20C9F4A7">
      <w:pPr>
        <w:pStyle w:val="8"/>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default" w:ascii="宋体" w:hAnsi="宋体" w:eastAsia="宋体" w:cs="宋体"/>
          <w:b w:val="0"/>
          <w:bCs/>
          <w:color w:val="auto"/>
          <w:kern w:val="2"/>
          <w:sz w:val="28"/>
          <w:szCs w:val="28"/>
          <w:lang w:val="en-US" w:eastAsia="zh-CN" w:bidi="ar-SA"/>
        </w:rPr>
      </w:pPr>
      <w:r>
        <w:rPr>
          <w:rFonts w:hint="default" w:ascii="宋体" w:hAnsi="宋体" w:eastAsia="宋体" w:cs="宋体"/>
          <w:b w:val="0"/>
          <w:bCs/>
          <w:color w:val="auto"/>
          <w:kern w:val="2"/>
          <w:sz w:val="28"/>
          <w:szCs w:val="28"/>
          <w:lang w:val="en-US" w:eastAsia="zh-CN" w:bidi="ar-SA"/>
        </w:rPr>
        <w:t>乙方确保已拥有本协议</w:t>
      </w:r>
      <w:r>
        <w:rPr>
          <w:rFonts w:hint="eastAsia" w:ascii="宋体" w:hAnsi="宋体" w:eastAsia="宋体" w:cs="宋体"/>
          <w:b w:val="0"/>
          <w:bCs/>
          <w:color w:val="auto"/>
          <w:kern w:val="2"/>
          <w:sz w:val="28"/>
          <w:szCs w:val="28"/>
          <w:lang w:val="en-US" w:eastAsia="zh-CN" w:bidi="ar-SA"/>
        </w:rPr>
        <w:t>约定的</w:t>
      </w:r>
      <w:r>
        <w:rPr>
          <w:rFonts w:hint="default" w:ascii="宋体" w:hAnsi="宋体" w:eastAsia="宋体" w:cs="宋体"/>
          <w:b w:val="0"/>
          <w:bCs/>
          <w:color w:val="auto"/>
          <w:kern w:val="2"/>
          <w:sz w:val="28"/>
          <w:szCs w:val="28"/>
          <w:lang w:val="en-US" w:eastAsia="zh-CN" w:bidi="ar-SA"/>
        </w:rPr>
        <w:t>软件自主知识产权，不存在任何权利瑕疵，也不会引发任何知识产权纠纷。如发生知识产权纠纷</w:t>
      </w:r>
      <w:r>
        <w:rPr>
          <w:rFonts w:hint="eastAsia" w:ascii="宋体" w:hAnsi="宋体" w:cs="宋体"/>
          <w:b w:val="0"/>
          <w:bCs/>
          <w:color w:val="auto"/>
          <w:kern w:val="2"/>
          <w:sz w:val="28"/>
          <w:szCs w:val="28"/>
          <w:lang w:val="en-US" w:eastAsia="zh-CN" w:bidi="ar-SA"/>
        </w:rPr>
        <w:t>，</w:t>
      </w:r>
      <w:r>
        <w:rPr>
          <w:rFonts w:hint="default" w:ascii="宋体" w:hAnsi="宋体" w:eastAsia="宋体" w:cs="宋体"/>
          <w:b w:val="0"/>
          <w:bCs/>
          <w:color w:val="auto"/>
          <w:kern w:val="2"/>
          <w:sz w:val="28"/>
          <w:szCs w:val="28"/>
          <w:lang w:val="en-US" w:eastAsia="zh-CN" w:bidi="ar-SA"/>
        </w:rPr>
        <w:t>均由乙方承担法律责任和经济赔偿。</w:t>
      </w:r>
    </w:p>
    <w:p w14:paraId="7941136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kern w:val="2"/>
          <w:sz w:val="28"/>
          <w:szCs w:val="28"/>
          <w:lang w:val="en-US" w:eastAsia="zh-CN" w:bidi="ar-SA"/>
        </w:rPr>
        <w:t>八、</w:t>
      </w:r>
      <w:r>
        <w:rPr>
          <w:rFonts w:hint="eastAsia" w:ascii="宋体" w:hAnsi="宋体" w:eastAsia="宋体" w:cs="宋体"/>
          <w:b/>
          <w:bCs/>
          <w:color w:val="auto"/>
          <w:sz w:val="28"/>
          <w:szCs w:val="28"/>
        </w:rPr>
        <w:t>保密义务</w:t>
      </w:r>
    </w:p>
    <w:p w14:paraId="0CEB87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textAlignment w:val="auto"/>
        <w:rPr>
          <w:rFonts w:hint="eastAsia" w:ascii="宋体" w:hAnsi="宋体" w:eastAsia="宋体" w:cs="宋体"/>
          <w:b w:val="0"/>
          <w:bCs/>
          <w:color w:val="auto"/>
          <w:kern w:val="2"/>
          <w:sz w:val="28"/>
          <w:szCs w:val="28"/>
          <w:lang w:val="en-US" w:eastAsia="zh-CN" w:bidi="ar-SA"/>
        </w:rPr>
      </w:pPr>
      <w:r>
        <w:rPr>
          <w:rFonts w:hint="eastAsia" w:ascii="宋体" w:hAnsi="宋体" w:eastAsia="宋体" w:cs="宋体"/>
          <w:b w:val="0"/>
          <w:bCs/>
          <w:color w:val="auto"/>
          <w:kern w:val="2"/>
          <w:sz w:val="28"/>
          <w:szCs w:val="28"/>
          <w:lang w:val="en-US" w:eastAsia="zh-CN" w:bidi="ar-SA"/>
        </w:rPr>
        <w:t>8.1 本</w:t>
      </w:r>
      <w:r>
        <w:rPr>
          <w:rFonts w:hint="eastAsia" w:ascii="宋体" w:hAnsi="宋体" w:cs="宋体"/>
          <w:b w:val="0"/>
          <w:bCs/>
          <w:color w:val="auto"/>
          <w:kern w:val="2"/>
          <w:sz w:val="28"/>
          <w:szCs w:val="28"/>
          <w:lang w:val="en-US" w:eastAsia="zh-CN" w:bidi="ar-SA"/>
        </w:rPr>
        <w:t>协议</w:t>
      </w:r>
      <w:r>
        <w:rPr>
          <w:rFonts w:hint="eastAsia" w:ascii="宋体" w:hAnsi="宋体" w:eastAsia="宋体" w:cs="宋体"/>
          <w:b w:val="0"/>
          <w:bCs/>
          <w:color w:val="auto"/>
          <w:kern w:val="2"/>
          <w:sz w:val="28"/>
          <w:szCs w:val="28"/>
          <w:lang w:val="en-US" w:eastAsia="zh-CN" w:bidi="ar-SA"/>
        </w:rPr>
        <w:t>订立、履行、变更等产生的研究、商讨、交流等信息，履行本</w:t>
      </w:r>
      <w:r>
        <w:rPr>
          <w:rFonts w:hint="eastAsia" w:ascii="宋体" w:hAnsi="宋体" w:cs="宋体"/>
          <w:b w:val="0"/>
          <w:bCs/>
          <w:color w:val="auto"/>
          <w:kern w:val="2"/>
          <w:sz w:val="28"/>
          <w:szCs w:val="28"/>
          <w:lang w:val="en-US" w:eastAsia="zh-CN" w:bidi="ar-SA"/>
        </w:rPr>
        <w:t>协议</w:t>
      </w:r>
      <w:r>
        <w:rPr>
          <w:rFonts w:hint="eastAsia" w:ascii="宋体" w:hAnsi="宋体" w:eastAsia="宋体" w:cs="宋体"/>
          <w:b w:val="0"/>
          <w:bCs/>
          <w:color w:val="auto"/>
          <w:kern w:val="2"/>
          <w:sz w:val="28"/>
          <w:szCs w:val="28"/>
          <w:lang w:val="en-US" w:eastAsia="zh-CN" w:bidi="ar-SA"/>
        </w:rPr>
        <w:t>获悉的甲方商业秘密、运营信息、工作人员信息、患陪个人信息等，均属保密信息。</w:t>
      </w:r>
    </w:p>
    <w:p w14:paraId="67F33CD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textAlignment w:val="auto"/>
        <w:rPr>
          <w:rFonts w:hint="eastAsia" w:ascii="宋体" w:hAnsi="宋体" w:eastAsia="宋体" w:cs="宋体"/>
          <w:b w:val="0"/>
          <w:bCs/>
          <w:color w:val="auto"/>
          <w:kern w:val="2"/>
          <w:sz w:val="28"/>
          <w:szCs w:val="28"/>
          <w:lang w:val="en-US" w:eastAsia="zh-CN" w:bidi="ar-SA"/>
        </w:rPr>
      </w:pPr>
      <w:r>
        <w:rPr>
          <w:rFonts w:hint="eastAsia" w:ascii="宋体" w:hAnsi="宋体" w:eastAsia="宋体" w:cs="宋体"/>
          <w:b w:val="0"/>
          <w:bCs/>
          <w:color w:val="auto"/>
          <w:kern w:val="2"/>
          <w:sz w:val="28"/>
          <w:szCs w:val="28"/>
          <w:lang w:val="en-US" w:eastAsia="zh-CN" w:bidi="ar-SA"/>
        </w:rPr>
        <w:t>8.2 乙方应对保密信息应当采取有效手段严格保密，不得用于非本</w:t>
      </w:r>
      <w:r>
        <w:rPr>
          <w:rFonts w:hint="eastAsia" w:ascii="宋体" w:hAnsi="宋体" w:cs="宋体"/>
          <w:b w:val="0"/>
          <w:bCs/>
          <w:color w:val="auto"/>
          <w:kern w:val="2"/>
          <w:sz w:val="28"/>
          <w:szCs w:val="28"/>
          <w:lang w:val="en-US" w:eastAsia="zh-CN" w:bidi="ar-SA"/>
        </w:rPr>
        <w:t>协议</w:t>
      </w:r>
      <w:r>
        <w:rPr>
          <w:rFonts w:hint="eastAsia" w:ascii="宋体" w:hAnsi="宋体" w:eastAsia="宋体" w:cs="宋体"/>
          <w:b w:val="0"/>
          <w:bCs/>
          <w:color w:val="auto"/>
          <w:kern w:val="2"/>
          <w:sz w:val="28"/>
          <w:szCs w:val="28"/>
          <w:lang w:val="en-US" w:eastAsia="zh-CN" w:bidi="ar-SA"/>
        </w:rPr>
        <w:t>之目的或向第三方泄露。如政府部门、法院或其他有权部门要求乙方提供保密信息，乙方应当立即向甲方通报。</w:t>
      </w:r>
    </w:p>
    <w:p w14:paraId="626DC9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textAlignment w:val="auto"/>
        <w:rPr>
          <w:rFonts w:hint="eastAsia" w:ascii="宋体" w:hAnsi="宋体" w:eastAsia="宋体" w:cs="宋体"/>
          <w:b w:val="0"/>
          <w:bCs/>
          <w:color w:val="auto"/>
          <w:kern w:val="2"/>
          <w:sz w:val="28"/>
          <w:szCs w:val="28"/>
          <w:lang w:val="en-US" w:eastAsia="zh-CN" w:bidi="ar-SA"/>
        </w:rPr>
      </w:pPr>
      <w:r>
        <w:rPr>
          <w:rFonts w:hint="eastAsia" w:ascii="宋体" w:hAnsi="宋体" w:eastAsia="宋体" w:cs="宋体"/>
          <w:b w:val="0"/>
          <w:bCs/>
          <w:color w:val="auto"/>
          <w:kern w:val="2"/>
          <w:sz w:val="28"/>
          <w:szCs w:val="28"/>
          <w:lang w:val="en-US" w:eastAsia="zh-CN" w:bidi="ar-SA"/>
        </w:rPr>
        <w:t>8.3 因乙方未履行本</w:t>
      </w:r>
      <w:r>
        <w:rPr>
          <w:rFonts w:hint="eastAsia" w:ascii="宋体" w:hAnsi="宋体" w:cs="宋体"/>
          <w:b w:val="0"/>
          <w:bCs/>
          <w:color w:val="auto"/>
          <w:kern w:val="2"/>
          <w:sz w:val="28"/>
          <w:szCs w:val="28"/>
          <w:lang w:val="en-US" w:eastAsia="zh-CN" w:bidi="ar-SA"/>
        </w:rPr>
        <w:t>协议</w:t>
      </w:r>
      <w:r>
        <w:rPr>
          <w:rFonts w:hint="eastAsia" w:ascii="宋体" w:hAnsi="宋体" w:eastAsia="宋体" w:cs="宋体"/>
          <w:b w:val="0"/>
          <w:bCs/>
          <w:color w:val="auto"/>
          <w:kern w:val="2"/>
          <w:sz w:val="28"/>
          <w:szCs w:val="28"/>
          <w:lang w:val="en-US" w:eastAsia="zh-CN" w:bidi="ar-SA"/>
        </w:rPr>
        <w:t>保密义务造成甲方或第三方损失的，由乙方承担全部赔偿责任。</w:t>
      </w:r>
    </w:p>
    <w:p w14:paraId="468D73D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textAlignment w:val="auto"/>
        <w:rPr>
          <w:rFonts w:hint="default" w:eastAsia="宋体"/>
          <w:color w:val="auto"/>
          <w:lang w:val="en-US" w:eastAsia="zh-CN"/>
        </w:rPr>
      </w:pPr>
      <w:r>
        <w:rPr>
          <w:rFonts w:hint="eastAsia" w:ascii="宋体" w:hAnsi="宋体" w:eastAsia="宋体" w:cs="宋体"/>
          <w:b w:val="0"/>
          <w:bCs/>
          <w:color w:val="auto"/>
          <w:kern w:val="2"/>
          <w:sz w:val="28"/>
          <w:szCs w:val="28"/>
          <w:lang w:val="en-US" w:eastAsia="zh-CN" w:bidi="ar-SA"/>
        </w:rPr>
        <w:t>8.4 本</w:t>
      </w:r>
      <w:r>
        <w:rPr>
          <w:rFonts w:hint="eastAsia" w:ascii="宋体" w:hAnsi="宋体" w:cs="宋体"/>
          <w:b w:val="0"/>
          <w:bCs/>
          <w:color w:val="auto"/>
          <w:kern w:val="2"/>
          <w:sz w:val="28"/>
          <w:szCs w:val="28"/>
          <w:lang w:val="en-US" w:eastAsia="zh-CN" w:bidi="ar-SA"/>
        </w:rPr>
        <w:t>协议</w:t>
      </w:r>
      <w:r>
        <w:rPr>
          <w:rFonts w:hint="eastAsia" w:ascii="宋体" w:hAnsi="宋体" w:eastAsia="宋体" w:cs="宋体"/>
          <w:b w:val="0"/>
          <w:bCs/>
          <w:color w:val="auto"/>
          <w:kern w:val="2"/>
          <w:sz w:val="28"/>
          <w:szCs w:val="28"/>
          <w:lang w:val="en-US" w:eastAsia="zh-CN" w:bidi="ar-SA"/>
        </w:rPr>
        <w:t>保密条款在</w:t>
      </w:r>
      <w:r>
        <w:rPr>
          <w:rFonts w:hint="eastAsia" w:ascii="宋体" w:hAnsi="宋体" w:cs="宋体"/>
          <w:b w:val="0"/>
          <w:bCs/>
          <w:color w:val="auto"/>
          <w:kern w:val="2"/>
          <w:sz w:val="28"/>
          <w:szCs w:val="28"/>
          <w:lang w:val="en-US" w:eastAsia="zh-CN" w:bidi="ar-SA"/>
        </w:rPr>
        <w:t>协议</w:t>
      </w:r>
      <w:r>
        <w:rPr>
          <w:rFonts w:hint="eastAsia" w:ascii="宋体" w:hAnsi="宋体" w:eastAsia="宋体" w:cs="宋体"/>
          <w:b w:val="0"/>
          <w:bCs/>
          <w:color w:val="auto"/>
          <w:kern w:val="2"/>
          <w:sz w:val="28"/>
          <w:szCs w:val="28"/>
          <w:lang w:val="en-US" w:eastAsia="zh-CN" w:bidi="ar-SA"/>
        </w:rPr>
        <w:t>被认定无效、被撤销或终止、解除后仍然有效。</w:t>
      </w:r>
    </w:p>
    <w:p w14:paraId="6994D780">
      <w:pPr>
        <w:pStyle w:val="17"/>
        <w:keepNext w:val="0"/>
        <w:keepLines w:val="0"/>
        <w:pageBreakBefore w:val="0"/>
        <w:widowControl/>
        <w:kinsoku/>
        <w:wordWrap/>
        <w:overflowPunct/>
        <w:topLinePunct w:val="0"/>
        <w:autoSpaceDE/>
        <w:autoSpaceDN/>
        <w:bidi w:val="0"/>
        <w:adjustRightInd/>
        <w:snapToGrid/>
        <w:spacing w:line="500" w:lineRule="exact"/>
        <w:ind w:left="0" w:leftChars="0" w:firstLine="562" w:firstLineChars="200"/>
        <w:jc w:val="left"/>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九、通知与送达</w:t>
      </w:r>
    </w:p>
    <w:p w14:paraId="72342E36">
      <w:pPr>
        <w:pStyle w:val="4"/>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val="en-US" w:eastAsia="zh-CN"/>
        </w:rPr>
        <w:t xml:space="preserve">9.1 </w:t>
      </w:r>
      <w:r>
        <w:rPr>
          <w:rFonts w:hint="eastAsia" w:ascii="宋体" w:hAnsi="宋体" w:eastAsia="宋体" w:cs="宋体"/>
          <w:bCs/>
          <w:color w:val="auto"/>
          <w:sz w:val="28"/>
          <w:szCs w:val="28"/>
        </w:rPr>
        <w:t>甲乙双方同意，与</w:t>
      </w:r>
      <w:r>
        <w:rPr>
          <w:rFonts w:hint="eastAsia" w:ascii="宋体" w:hAnsi="宋体" w:eastAsia="宋体" w:cs="宋体"/>
          <w:bCs/>
          <w:color w:val="auto"/>
          <w:sz w:val="28"/>
          <w:szCs w:val="28"/>
          <w:lang w:eastAsia="zh-CN"/>
        </w:rPr>
        <w:t>本协议</w:t>
      </w:r>
      <w:r>
        <w:rPr>
          <w:rFonts w:hint="eastAsia" w:ascii="宋体" w:hAnsi="宋体" w:eastAsia="宋体" w:cs="宋体"/>
          <w:bCs/>
          <w:color w:val="auto"/>
          <w:sz w:val="28"/>
          <w:szCs w:val="28"/>
        </w:rPr>
        <w:t>有关的任何文书，应以书面形式按</w:t>
      </w:r>
      <w:r>
        <w:rPr>
          <w:rFonts w:hint="eastAsia" w:ascii="宋体" w:hAnsi="宋体" w:eastAsia="宋体" w:cs="宋体"/>
          <w:bCs/>
          <w:color w:val="auto"/>
          <w:sz w:val="28"/>
          <w:szCs w:val="28"/>
          <w:lang w:eastAsia="zh-CN"/>
        </w:rPr>
        <w:t>本协议</w:t>
      </w:r>
      <w:r>
        <w:rPr>
          <w:rFonts w:hint="eastAsia" w:ascii="宋体" w:hAnsi="宋体" w:eastAsia="宋体" w:cs="宋体"/>
          <w:bCs/>
          <w:color w:val="auto"/>
          <w:sz w:val="28"/>
          <w:szCs w:val="28"/>
        </w:rPr>
        <w:t>约定的联系方式送达。书面形式包括手机短信、微信、书面函件、电子邮件等形式。</w:t>
      </w:r>
    </w:p>
    <w:p w14:paraId="563F9FE4">
      <w:pPr>
        <w:pStyle w:val="4"/>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val="en-US" w:eastAsia="zh-CN"/>
        </w:rPr>
        <w:t xml:space="preserve">9.2 </w:t>
      </w:r>
      <w:r>
        <w:rPr>
          <w:rFonts w:hint="eastAsia" w:ascii="宋体" w:hAnsi="宋体" w:eastAsia="宋体" w:cs="宋体"/>
          <w:bCs/>
          <w:color w:val="auto"/>
          <w:sz w:val="28"/>
          <w:szCs w:val="28"/>
        </w:rPr>
        <w:t>双方确认的文书（包括未来可能发生的诉讼或仲裁活动中法院或仲裁机构的送达法律文书）送达地址：</w:t>
      </w:r>
    </w:p>
    <w:p w14:paraId="266A65E1">
      <w:pPr>
        <w:pStyle w:val="4"/>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jc w:val="left"/>
        <w:textAlignment w:val="auto"/>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val="en-US" w:eastAsia="zh-CN"/>
        </w:rPr>
        <w:t xml:space="preserve">9.2.1 </w:t>
      </w:r>
      <w:r>
        <w:rPr>
          <w:rFonts w:hint="eastAsia" w:ascii="宋体" w:hAnsi="宋体" w:eastAsia="宋体" w:cs="宋体"/>
          <w:bCs/>
          <w:color w:val="auto"/>
          <w:sz w:val="28"/>
          <w:szCs w:val="28"/>
          <w:highlight w:val="none"/>
        </w:rPr>
        <w:t>甲方的文书送达地址</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u w:val="single"/>
          <w:lang w:eastAsia="zh-CN"/>
        </w:rPr>
        <w:t>娄底市中心医院计算机信息管理科</w:t>
      </w:r>
      <w:r>
        <w:rPr>
          <w:rFonts w:hint="eastAsia" w:ascii="宋体" w:hAnsi="宋体" w:eastAsia="宋体" w:cs="宋体"/>
          <w:bCs/>
          <w:color w:val="auto"/>
          <w:sz w:val="28"/>
          <w:szCs w:val="28"/>
          <w:highlight w:val="none"/>
        </w:rPr>
        <w:t>，收件人：</w:t>
      </w:r>
      <w:r>
        <w:rPr>
          <w:rFonts w:hint="eastAsia" w:ascii="宋体" w:hAnsi="宋体" w:eastAsia="宋体" w:cs="宋体"/>
          <w:color w:val="auto"/>
          <w:sz w:val="28"/>
          <w:szCs w:val="28"/>
          <w:highlight w:val="none"/>
          <w:u w:val="single"/>
        </w:rPr>
        <w:t xml:space="preserve">胡晟娅 </w:t>
      </w:r>
      <w:r>
        <w:rPr>
          <w:rFonts w:hint="eastAsia" w:ascii="宋体" w:hAnsi="宋体" w:eastAsia="宋体" w:cs="宋体"/>
          <w:bCs/>
          <w:color w:val="auto"/>
          <w:sz w:val="28"/>
          <w:szCs w:val="28"/>
          <w:highlight w:val="none"/>
        </w:rPr>
        <w:t>，联系电话</w:t>
      </w:r>
      <w:r>
        <w:rPr>
          <w:rFonts w:hint="eastAsia" w:ascii="宋体" w:hAnsi="宋体" w:eastAsia="宋体" w:cs="宋体"/>
          <w:bCs/>
          <w:color w:val="auto"/>
          <w:sz w:val="28"/>
          <w:szCs w:val="28"/>
          <w:highlight w:val="none"/>
          <w:u w:val="none"/>
        </w:rPr>
        <w:t>：</w:t>
      </w:r>
      <w:r>
        <w:rPr>
          <w:rFonts w:hint="eastAsia" w:ascii="宋体" w:hAnsi="宋体" w:eastAsia="宋体" w:cs="宋体"/>
          <w:color w:val="auto"/>
          <w:sz w:val="28"/>
          <w:szCs w:val="28"/>
          <w:highlight w:val="none"/>
          <w:u w:val="single"/>
        </w:rPr>
        <w:t xml:space="preserve">17363823330 </w:t>
      </w:r>
      <w:r>
        <w:rPr>
          <w:rFonts w:hint="eastAsia" w:ascii="宋体" w:hAnsi="宋体" w:eastAsia="宋体" w:cs="宋体"/>
          <w:bCs/>
          <w:color w:val="auto"/>
          <w:sz w:val="28"/>
          <w:szCs w:val="28"/>
          <w:highlight w:val="none"/>
        </w:rPr>
        <w:t>，电子邮箱</w:t>
      </w:r>
      <w:r>
        <w:rPr>
          <w:rFonts w:hint="eastAsia" w:ascii="宋体" w:hAnsi="宋体" w:eastAsia="宋体" w:cs="宋体"/>
          <w:bCs/>
          <w:color w:val="auto"/>
          <w:sz w:val="28"/>
          <w:szCs w:val="28"/>
          <w:highlight w:val="none"/>
          <w:u w:val="none"/>
        </w:rPr>
        <w:t>：</w:t>
      </w:r>
      <w:r>
        <w:rPr>
          <w:rFonts w:hint="eastAsia" w:ascii="宋体" w:hAnsi="宋体" w:eastAsia="宋体" w:cs="宋体"/>
          <w:bCs/>
          <w:color w:val="auto"/>
          <w:sz w:val="28"/>
          <w:szCs w:val="28"/>
          <w:highlight w:val="none"/>
          <w:u w:val="single"/>
        </w:rPr>
        <w:t xml:space="preserve"> </w:t>
      </w:r>
      <w:r>
        <w:rPr>
          <w:rFonts w:hint="default" w:ascii="宋体" w:hAnsi="宋体" w:eastAsia="宋体" w:cs="宋体"/>
          <w:bCs/>
          <w:color w:val="auto"/>
          <w:sz w:val="28"/>
          <w:szCs w:val="28"/>
          <w:highlight w:val="none"/>
          <w:u w:val="single"/>
        </w:rPr>
        <w:t>/</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Cs/>
          <w:color w:val="auto"/>
          <w:sz w:val="28"/>
          <w:szCs w:val="28"/>
          <w:highlight w:val="none"/>
        </w:rPr>
        <w:t>。</w:t>
      </w:r>
    </w:p>
    <w:p w14:paraId="636A2AD6">
      <w:pPr>
        <w:pStyle w:val="4"/>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val="en-US" w:eastAsia="zh-CN"/>
        </w:rPr>
        <w:t>9</w:t>
      </w:r>
      <w:r>
        <w:rPr>
          <w:rFonts w:hint="default" w:ascii="宋体" w:hAnsi="宋体" w:eastAsia="宋体" w:cs="宋体"/>
          <w:bCs/>
          <w:color w:val="auto"/>
          <w:sz w:val="28"/>
          <w:szCs w:val="28"/>
          <w:lang w:eastAsia="zh-CN"/>
        </w:rPr>
        <w:t xml:space="preserve">.2.2 </w:t>
      </w:r>
      <w:r>
        <w:rPr>
          <w:rFonts w:hint="eastAsia" w:ascii="宋体" w:hAnsi="宋体" w:eastAsia="宋体" w:cs="宋体"/>
          <w:bCs/>
          <w:color w:val="auto"/>
          <w:sz w:val="28"/>
          <w:szCs w:val="28"/>
        </w:rPr>
        <w:t>乙方的文书送达地址：</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，收件人：</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，联系电话</w:t>
      </w:r>
      <w:r>
        <w:rPr>
          <w:rFonts w:hint="eastAsia" w:ascii="宋体" w:hAnsi="宋体" w:eastAsia="宋体" w:cs="宋体"/>
          <w:bCs/>
          <w:color w:val="auto"/>
          <w:sz w:val="28"/>
          <w:szCs w:val="28"/>
          <w:u w:val="none"/>
        </w:rPr>
        <w:t>：</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，电子邮箱</w:t>
      </w:r>
      <w:r>
        <w:rPr>
          <w:rFonts w:hint="eastAsia" w:ascii="宋体" w:hAnsi="宋体" w:eastAsia="宋体" w:cs="宋体"/>
          <w:bCs/>
          <w:color w:val="auto"/>
          <w:sz w:val="28"/>
          <w:szCs w:val="28"/>
          <w:u w:val="none"/>
        </w:rPr>
        <w:t>：</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w:t>
      </w:r>
    </w:p>
    <w:p w14:paraId="059FED87">
      <w:pPr>
        <w:pStyle w:val="4"/>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val="en-US" w:eastAsia="zh-CN"/>
        </w:rPr>
        <w:t>9</w:t>
      </w:r>
      <w:r>
        <w:rPr>
          <w:rFonts w:hint="default" w:ascii="宋体" w:hAnsi="宋体" w:eastAsia="宋体" w:cs="宋体"/>
          <w:bCs/>
          <w:color w:val="auto"/>
          <w:sz w:val="28"/>
          <w:szCs w:val="28"/>
        </w:rPr>
        <w:t xml:space="preserve">.3 </w:t>
      </w:r>
      <w:r>
        <w:rPr>
          <w:rFonts w:hint="eastAsia" w:ascii="宋体" w:hAnsi="宋体" w:eastAsia="宋体" w:cs="宋体"/>
          <w:bCs/>
          <w:color w:val="auto"/>
          <w:sz w:val="28"/>
          <w:szCs w:val="28"/>
        </w:rPr>
        <w:t>上述通知应被视为在下列时间送达：以快递或专人发送的，在收件人签收之日或拒收之日；以挂号邮件发出的，在发出之日起7个工作日；以电子邮件发出的，在电子邮件进入收件方电子邮箱服务器之日。</w:t>
      </w:r>
    </w:p>
    <w:p w14:paraId="3B023B8A">
      <w:pPr>
        <w:pStyle w:val="4"/>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b/>
          <w:color w:val="auto"/>
          <w:sz w:val="28"/>
          <w:szCs w:val="28"/>
        </w:rPr>
      </w:pPr>
      <w:r>
        <w:rPr>
          <w:rFonts w:hint="eastAsia" w:ascii="宋体" w:hAnsi="宋体" w:eastAsia="宋体" w:cs="宋体"/>
          <w:bCs/>
          <w:color w:val="auto"/>
          <w:sz w:val="28"/>
          <w:szCs w:val="28"/>
          <w:lang w:val="en-US" w:eastAsia="zh-CN"/>
        </w:rPr>
        <w:t>9</w:t>
      </w:r>
      <w:r>
        <w:rPr>
          <w:rFonts w:hint="default" w:ascii="宋体" w:hAnsi="宋体" w:eastAsia="宋体" w:cs="宋体"/>
          <w:bCs/>
          <w:color w:val="auto"/>
          <w:sz w:val="28"/>
          <w:szCs w:val="28"/>
        </w:rPr>
        <w:t xml:space="preserve">.4 </w:t>
      </w:r>
      <w:r>
        <w:rPr>
          <w:rFonts w:hint="eastAsia" w:ascii="宋体" w:hAnsi="宋体" w:eastAsia="宋体" w:cs="宋体"/>
          <w:bCs/>
          <w:color w:val="auto"/>
          <w:sz w:val="28"/>
          <w:szCs w:val="28"/>
        </w:rPr>
        <w:t>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0471EDF2">
      <w:pPr>
        <w:pStyle w:val="8"/>
        <w:keepNext w:val="0"/>
        <w:keepLines w:val="0"/>
        <w:pageBreakBefore w:val="0"/>
        <w:widowControl w:val="0"/>
        <w:kinsoku/>
        <w:wordWrap/>
        <w:overflowPunct/>
        <w:topLinePunct w:val="0"/>
        <w:autoSpaceDE/>
        <w:autoSpaceDN/>
        <w:bidi w:val="0"/>
        <w:adjustRightInd/>
        <w:snapToGrid/>
        <w:spacing w:after="0" w:line="500" w:lineRule="exact"/>
        <w:ind w:firstLine="562" w:firstLineChars="200"/>
        <w:textAlignment w:val="auto"/>
        <w:rPr>
          <w:rFonts w:hint="default" w:ascii="宋体" w:hAnsi="宋体" w:eastAsia="宋体" w:cs="宋体"/>
          <w:bCs/>
          <w:color w:val="auto"/>
          <w:kern w:val="0"/>
          <w:sz w:val="28"/>
          <w:szCs w:val="28"/>
          <w:lang w:eastAsia="zh-CN" w:bidi="ar-SA"/>
        </w:rPr>
      </w:pPr>
      <w:r>
        <w:rPr>
          <w:rFonts w:hint="default" w:ascii="宋体" w:hAnsi="宋体" w:eastAsia="宋体" w:cs="宋体"/>
          <w:b/>
          <w:bCs w:val="0"/>
          <w:color w:val="auto"/>
          <w:kern w:val="0"/>
          <w:sz w:val="28"/>
          <w:szCs w:val="28"/>
          <w:lang w:eastAsia="zh-CN" w:bidi="ar-SA"/>
        </w:rPr>
        <w:t>十、协议的变更、解除</w:t>
      </w:r>
    </w:p>
    <w:p w14:paraId="75A4EF00">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eastAsia" w:ascii="宋体" w:hAnsi="宋体" w:eastAsia="宋体" w:cs="宋体"/>
          <w:bCs/>
          <w:color w:val="auto"/>
          <w:kern w:val="0"/>
          <w:sz w:val="28"/>
          <w:szCs w:val="28"/>
          <w:lang w:val="en-US" w:eastAsia="zh-CN" w:bidi="ar-SA"/>
        </w:rPr>
      </w:pPr>
      <w:r>
        <w:rPr>
          <w:rFonts w:hint="default" w:ascii="宋体" w:hAnsi="宋体" w:eastAsia="宋体" w:cs="宋体"/>
          <w:bCs/>
          <w:color w:val="auto"/>
          <w:kern w:val="0"/>
          <w:sz w:val="28"/>
          <w:szCs w:val="28"/>
          <w:lang w:val="en-US" w:eastAsia="zh-CN" w:bidi="ar-SA"/>
        </w:rPr>
        <w:t>1</w:t>
      </w:r>
      <w:r>
        <w:rPr>
          <w:rFonts w:hint="eastAsia" w:ascii="宋体" w:hAnsi="宋体" w:eastAsia="宋体" w:cs="宋体"/>
          <w:bCs/>
          <w:color w:val="auto"/>
          <w:kern w:val="0"/>
          <w:sz w:val="28"/>
          <w:szCs w:val="28"/>
          <w:lang w:val="en-US" w:eastAsia="zh-CN" w:bidi="ar-SA"/>
        </w:rPr>
        <w:t>0</w:t>
      </w:r>
      <w:r>
        <w:rPr>
          <w:rFonts w:hint="default" w:ascii="宋体" w:hAnsi="宋体" w:eastAsia="宋体" w:cs="宋体"/>
          <w:bCs/>
          <w:color w:val="auto"/>
          <w:kern w:val="0"/>
          <w:sz w:val="28"/>
          <w:szCs w:val="28"/>
          <w:lang w:val="en-US" w:eastAsia="zh-CN" w:bidi="ar-SA"/>
        </w:rPr>
        <w:t>.1</w:t>
      </w:r>
      <w:r>
        <w:rPr>
          <w:rFonts w:hint="default" w:ascii="宋体" w:hAnsi="宋体" w:eastAsia="宋体" w:cs="宋体"/>
          <w:bCs/>
          <w:color w:val="auto"/>
          <w:kern w:val="0"/>
          <w:sz w:val="28"/>
          <w:szCs w:val="28"/>
          <w:lang w:eastAsia="zh-CN" w:bidi="ar-SA"/>
        </w:rPr>
        <w:t xml:space="preserve"> </w:t>
      </w:r>
      <w:r>
        <w:rPr>
          <w:rFonts w:hint="eastAsia" w:ascii="宋体" w:hAnsi="宋体" w:eastAsia="宋体" w:cs="宋体"/>
          <w:bCs/>
          <w:color w:val="auto"/>
          <w:kern w:val="0"/>
          <w:sz w:val="28"/>
          <w:szCs w:val="28"/>
          <w:lang w:val="en-US" w:eastAsia="zh-CN" w:bidi="ar-SA"/>
        </w:rPr>
        <w:t>本</w:t>
      </w:r>
      <w:r>
        <w:rPr>
          <w:rFonts w:hint="eastAsia" w:ascii="宋体" w:hAnsi="宋体" w:cs="宋体"/>
          <w:bCs/>
          <w:color w:val="auto"/>
          <w:kern w:val="0"/>
          <w:sz w:val="28"/>
          <w:szCs w:val="28"/>
          <w:lang w:val="en-US" w:eastAsia="zh-CN" w:bidi="ar-SA"/>
        </w:rPr>
        <w:t>协议</w:t>
      </w:r>
      <w:r>
        <w:rPr>
          <w:rFonts w:hint="eastAsia" w:ascii="宋体" w:hAnsi="宋体" w:eastAsia="宋体" w:cs="宋体"/>
          <w:bCs/>
          <w:color w:val="auto"/>
          <w:kern w:val="0"/>
          <w:sz w:val="28"/>
          <w:szCs w:val="28"/>
          <w:lang w:val="en-US" w:eastAsia="zh-CN" w:bidi="ar-SA"/>
        </w:rPr>
        <w:t>经双方协商一致后可以变更，双方应另行签订补充协议。</w:t>
      </w:r>
    </w:p>
    <w:p w14:paraId="3BAD9D4E">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default" w:ascii="宋体" w:hAnsi="宋体" w:eastAsia="宋体" w:cs="宋体"/>
          <w:bCs/>
          <w:color w:val="auto"/>
          <w:kern w:val="0"/>
          <w:sz w:val="28"/>
          <w:szCs w:val="28"/>
          <w:lang w:eastAsia="zh-CN" w:bidi="ar-SA"/>
        </w:rPr>
      </w:pPr>
      <w:r>
        <w:rPr>
          <w:rFonts w:hint="default" w:ascii="宋体" w:hAnsi="宋体" w:eastAsia="宋体" w:cs="宋体"/>
          <w:bCs/>
          <w:color w:val="auto"/>
          <w:kern w:val="0"/>
          <w:sz w:val="28"/>
          <w:szCs w:val="28"/>
          <w:lang w:eastAsia="zh-CN" w:bidi="ar-SA"/>
        </w:rPr>
        <w:t>1</w:t>
      </w:r>
      <w:r>
        <w:rPr>
          <w:rFonts w:hint="eastAsia" w:ascii="宋体" w:hAnsi="宋体" w:eastAsia="宋体" w:cs="宋体"/>
          <w:bCs/>
          <w:color w:val="auto"/>
          <w:kern w:val="0"/>
          <w:sz w:val="28"/>
          <w:szCs w:val="28"/>
          <w:lang w:val="en-US" w:eastAsia="zh-CN" w:bidi="ar-SA"/>
        </w:rPr>
        <w:t>0</w:t>
      </w:r>
      <w:r>
        <w:rPr>
          <w:rFonts w:hint="default" w:ascii="宋体" w:hAnsi="宋体" w:eastAsia="宋体" w:cs="宋体"/>
          <w:bCs/>
          <w:color w:val="auto"/>
          <w:kern w:val="0"/>
          <w:sz w:val="28"/>
          <w:szCs w:val="28"/>
          <w:lang w:eastAsia="zh-CN" w:bidi="ar-SA"/>
        </w:rPr>
        <w:t>.2 乙方出现以下违约情形之一的，甲方有权解除</w:t>
      </w:r>
      <w:r>
        <w:rPr>
          <w:rFonts w:hint="eastAsia" w:ascii="宋体" w:hAnsi="宋体" w:cs="宋体"/>
          <w:bCs/>
          <w:color w:val="auto"/>
          <w:kern w:val="0"/>
          <w:sz w:val="28"/>
          <w:szCs w:val="28"/>
          <w:lang w:eastAsia="zh-CN" w:bidi="ar-SA"/>
        </w:rPr>
        <w:t>协议</w:t>
      </w:r>
      <w:r>
        <w:rPr>
          <w:rFonts w:hint="default" w:ascii="宋体" w:hAnsi="宋体" w:eastAsia="宋体" w:cs="宋体"/>
          <w:bCs/>
          <w:color w:val="auto"/>
          <w:kern w:val="0"/>
          <w:sz w:val="28"/>
          <w:szCs w:val="28"/>
          <w:lang w:eastAsia="zh-CN" w:bidi="ar-SA"/>
        </w:rPr>
        <w:t>：</w:t>
      </w:r>
    </w:p>
    <w:p w14:paraId="699103ED">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default" w:ascii="宋体" w:hAnsi="宋体" w:eastAsia="宋体" w:cs="宋体"/>
          <w:bCs/>
          <w:color w:val="auto"/>
          <w:kern w:val="0"/>
          <w:sz w:val="28"/>
          <w:szCs w:val="28"/>
          <w:lang w:eastAsia="zh-CN" w:bidi="ar-SA"/>
        </w:rPr>
      </w:pPr>
      <w:r>
        <w:rPr>
          <w:rFonts w:hint="eastAsia" w:ascii="宋体" w:hAnsi="宋体" w:eastAsia="宋体" w:cs="宋体"/>
          <w:bCs/>
          <w:color w:val="auto"/>
          <w:kern w:val="0"/>
          <w:sz w:val="28"/>
          <w:szCs w:val="28"/>
          <w:lang w:val="en-US" w:eastAsia="zh-CN" w:bidi="ar-SA"/>
        </w:rPr>
        <w:t>10</w:t>
      </w:r>
      <w:r>
        <w:rPr>
          <w:rFonts w:hint="default" w:ascii="宋体" w:hAnsi="宋体" w:eastAsia="宋体" w:cs="宋体"/>
          <w:bCs/>
          <w:color w:val="auto"/>
          <w:kern w:val="0"/>
          <w:sz w:val="28"/>
          <w:szCs w:val="28"/>
          <w:lang w:eastAsia="zh-CN" w:bidi="ar-SA"/>
        </w:rPr>
        <w:t>.2.1</w:t>
      </w:r>
      <w:r>
        <w:rPr>
          <w:rFonts w:hint="eastAsia" w:ascii="宋体" w:hAnsi="宋体" w:eastAsia="宋体" w:cs="宋体"/>
          <w:bCs/>
          <w:color w:val="auto"/>
          <w:kern w:val="0"/>
          <w:sz w:val="28"/>
          <w:szCs w:val="28"/>
          <w:lang w:val="en-US" w:eastAsia="zh-CN" w:bidi="ar-SA"/>
        </w:rPr>
        <w:t xml:space="preserve"> </w:t>
      </w:r>
      <w:r>
        <w:rPr>
          <w:rFonts w:hint="default" w:ascii="宋体" w:hAnsi="宋体" w:eastAsia="宋体" w:cs="宋体"/>
          <w:bCs/>
          <w:color w:val="auto"/>
          <w:kern w:val="0"/>
          <w:sz w:val="28"/>
          <w:szCs w:val="28"/>
          <w:lang w:eastAsia="zh-CN" w:bidi="ar-SA"/>
        </w:rPr>
        <w:t>因乙方未及时维护、解决故障等原因导致甲方无法正常使用</w:t>
      </w:r>
      <w:r>
        <w:rPr>
          <w:rFonts w:hint="eastAsia" w:ascii="宋体" w:hAnsi="宋体" w:eastAsia="宋体" w:cs="宋体"/>
          <w:bCs/>
          <w:color w:val="auto"/>
          <w:kern w:val="0"/>
          <w:sz w:val="28"/>
          <w:szCs w:val="28"/>
          <w:lang w:val="en-US" w:eastAsia="zh-CN" w:bidi="ar-SA"/>
        </w:rPr>
        <w:t>软件</w:t>
      </w:r>
      <w:r>
        <w:rPr>
          <w:rFonts w:hint="default" w:ascii="宋体" w:hAnsi="宋体" w:eastAsia="宋体" w:cs="宋体"/>
          <w:bCs/>
          <w:color w:val="auto"/>
          <w:kern w:val="0"/>
          <w:sz w:val="28"/>
          <w:szCs w:val="28"/>
          <w:lang w:eastAsia="zh-CN" w:bidi="ar-SA"/>
        </w:rPr>
        <w:t>累计达</w:t>
      </w:r>
      <w:r>
        <w:rPr>
          <w:rFonts w:hint="default" w:ascii="宋体" w:hAnsi="宋体" w:eastAsia="宋体" w:cs="宋体"/>
          <w:bCs/>
          <w:color w:val="auto"/>
          <w:kern w:val="0"/>
          <w:sz w:val="28"/>
          <w:szCs w:val="28"/>
          <w:u w:val="single"/>
          <w:lang w:eastAsia="zh-CN" w:bidi="ar-SA"/>
        </w:rPr>
        <w:t xml:space="preserve"> 5 </w:t>
      </w:r>
      <w:r>
        <w:rPr>
          <w:rFonts w:hint="default" w:ascii="宋体" w:hAnsi="宋体" w:eastAsia="宋体" w:cs="宋体"/>
          <w:bCs/>
          <w:color w:val="auto"/>
          <w:kern w:val="0"/>
          <w:sz w:val="28"/>
          <w:szCs w:val="28"/>
          <w:lang w:eastAsia="zh-CN" w:bidi="ar-SA"/>
        </w:rPr>
        <w:t xml:space="preserve">日时；                                                                                                                                                                                                                                                                                                                                                                                                                                                                                                                                                                                                                                                                                                                                                                                                                                                                                                                                                                                                                                                                                                                                                                                                                                                                                                                                                                                                                                                                                                                                                                                                                                                                                          </w:t>
      </w:r>
    </w:p>
    <w:p w14:paraId="1ADB9346">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default" w:ascii="宋体" w:hAnsi="宋体" w:eastAsia="宋体" w:cs="宋体"/>
          <w:bCs/>
          <w:color w:val="auto"/>
          <w:kern w:val="0"/>
          <w:sz w:val="28"/>
          <w:szCs w:val="28"/>
          <w:lang w:eastAsia="zh-CN" w:bidi="ar-SA"/>
        </w:rPr>
      </w:pPr>
      <w:r>
        <w:rPr>
          <w:rFonts w:hint="eastAsia" w:ascii="宋体" w:hAnsi="宋体" w:eastAsia="宋体" w:cs="宋体"/>
          <w:bCs/>
          <w:color w:val="auto"/>
          <w:kern w:val="0"/>
          <w:sz w:val="28"/>
          <w:szCs w:val="28"/>
          <w:lang w:val="en-US" w:eastAsia="zh-CN" w:bidi="ar-SA"/>
        </w:rPr>
        <w:t>10</w:t>
      </w:r>
      <w:r>
        <w:rPr>
          <w:rFonts w:hint="default" w:ascii="宋体" w:hAnsi="宋体" w:eastAsia="宋体" w:cs="宋体"/>
          <w:bCs/>
          <w:color w:val="auto"/>
          <w:kern w:val="0"/>
          <w:sz w:val="28"/>
          <w:szCs w:val="28"/>
          <w:lang w:eastAsia="zh-CN" w:bidi="ar-SA"/>
        </w:rPr>
        <w:t>.2.2</w:t>
      </w:r>
      <w:r>
        <w:rPr>
          <w:rFonts w:hint="eastAsia" w:ascii="宋体" w:hAnsi="宋体" w:eastAsia="宋体" w:cs="宋体"/>
          <w:bCs/>
          <w:color w:val="auto"/>
          <w:kern w:val="0"/>
          <w:sz w:val="28"/>
          <w:szCs w:val="28"/>
          <w:lang w:val="en-US" w:eastAsia="zh-CN" w:bidi="ar-SA"/>
        </w:rPr>
        <w:t xml:space="preserve"> </w:t>
      </w:r>
      <w:r>
        <w:rPr>
          <w:rFonts w:hint="default" w:ascii="宋体" w:hAnsi="宋体" w:eastAsia="宋体" w:cs="宋体"/>
          <w:bCs/>
          <w:color w:val="auto"/>
          <w:kern w:val="0"/>
          <w:sz w:val="28"/>
          <w:szCs w:val="28"/>
          <w:lang w:eastAsia="zh-CN" w:bidi="ar-SA"/>
        </w:rPr>
        <w:t>乙方转包或分包本</w:t>
      </w:r>
      <w:r>
        <w:rPr>
          <w:rFonts w:hint="eastAsia" w:ascii="宋体" w:hAnsi="宋体" w:cs="宋体"/>
          <w:bCs/>
          <w:color w:val="auto"/>
          <w:kern w:val="0"/>
          <w:sz w:val="28"/>
          <w:szCs w:val="28"/>
          <w:lang w:eastAsia="zh-CN" w:bidi="ar-SA"/>
        </w:rPr>
        <w:t>协议</w:t>
      </w:r>
      <w:r>
        <w:rPr>
          <w:rFonts w:hint="default" w:ascii="宋体" w:hAnsi="宋体" w:eastAsia="宋体" w:cs="宋体"/>
          <w:bCs/>
          <w:color w:val="auto"/>
          <w:kern w:val="0"/>
          <w:sz w:val="28"/>
          <w:szCs w:val="28"/>
          <w:lang w:eastAsia="zh-CN" w:bidi="ar-SA"/>
        </w:rPr>
        <w:t>约定权利义务给第三方的；</w:t>
      </w:r>
    </w:p>
    <w:p w14:paraId="0BFE5CB7">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default" w:ascii="宋体" w:hAnsi="宋体" w:eastAsia="宋体" w:cs="宋体"/>
          <w:bCs/>
          <w:color w:val="auto"/>
          <w:kern w:val="0"/>
          <w:sz w:val="28"/>
          <w:szCs w:val="28"/>
          <w:lang w:eastAsia="zh-CN" w:bidi="ar-SA"/>
        </w:rPr>
      </w:pPr>
      <w:r>
        <w:rPr>
          <w:rFonts w:hint="eastAsia" w:ascii="宋体" w:hAnsi="宋体" w:eastAsia="宋体" w:cs="宋体"/>
          <w:bCs/>
          <w:color w:val="auto"/>
          <w:kern w:val="0"/>
          <w:sz w:val="28"/>
          <w:szCs w:val="28"/>
          <w:lang w:val="en-US" w:eastAsia="zh-CN" w:bidi="ar-SA"/>
        </w:rPr>
        <w:t>10</w:t>
      </w:r>
      <w:r>
        <w:rPr>
          <w:rFonts w:hint="default" w:ascii="宋体" w:hAnsi="宋体" w:eastAsia="宋体" w:cs="宋体"/>
          <w:bCs/>
          <w:color w:val="auto"/>
          <w:kern w:val="0"/>
          <w:sz w:val="28"/>
          <w:szCs w:val="28"/>
          <w:lang w:eastAsia="zh-CN" w:bidi="ar-SA"/>
        </w:rPr>
        <w:t>.2.3</w:t>
      </w:r>
      <w:r>
        <w:rPr>
          <w:rFonts w:hint="eastAsia" w:ascii="宋体" w:hAnsi="宋体" w:eastAsia="宋体" w:cs="宋体"/>
          <w:bCs/>
          <w:color w:val="auto"/>
          <w:kern w:val="0"/>
          <w:sz w:val="28"/>
          <w:szCs w:val="28"/>
          <w:lang w:val="en-US" w:eastAsia="zh-CN" w:bidi="ar-SA"/>
        </w:rPr>
        <w:t xml:space="preserve"> </w:t>
      </w:r>
      <w:r>
        <w:rPr>
          <w:rFonts w:hint="default" w:ascii="宋体" w:hAnsi="宋体" w:eastAsia="宋体" w:cs="宋体"/>
          <w:bCs/>
          <w:color w:val="auto"/>
          <w:kern w:val="0"/>
          <w:sz w:val="28"/>
          <w:szCs w:val="28"/>
          <w:lang w:eastAsia="zh-CN" w:bidi="ar-SA"/>
        </w:rPr>
        <w:t>乙方违反保密条款或侵犯第三人的知识产权及其他合法权利，给甲方造成损失或不良影响的；</w:t>
      </w:r>
    </w:p>
    <w:p w14:paraId="6D66D347">
      <w:pPr>
        <w:pStyle w:val="8"/>
        <w:keepNext w:val="0"/>
        <w:keepLines w:val="0"/>
        <w:pageBreakBefore w:val="0"/>
        <w:widowControl w:val="0"/>
        <w:kinsoku/>
        <w:wordWrap/>
        <w:overflowPunct/>
        <w:topLinePunct w:val="0"/>
        <w:autoSpaceDE/>
        <w:autoSpaceDN/>
        <w:bidi w:val="0"/>
        <w:adjustRightInd/>
        <w:snapToGrid/>
        <w:spacing w:after="0" w:line="500" w:lineRule="exact"/>
        <w:ind w:firstLine="560" w:firstLineChars="200"/>
        <w:textAlignment w:val="auto"/>
        <w:rPr>
          <w:rFonts w:hint="default" w:ascii="宋体" w:hAnsi="宋体" w:eastAsia="宋体" w:cs="宋体"/>
          <w:bCs/>
          <w:color w:val="auto"/>
          <w:kern w:val="0"/>
          <w:sz w:val="28"/>
          <w:szCs w:val="28"/>
          <w:lang w:eastAsia="zh-CN" w:bidi="ar-SA"/>
        </w:rPr>
      </w:pPr>
      <w:r>
        <w:rPr>
          <w:rFonts w:hint="eastAsia" w:ascii="宋体" w:hAnsi="宋体" w:eastAsia="宋体" w:cs="宋体"/>
          <w:bCs/>
          <w:color w:val="auto"/>
          <w:kern w:val="0"/>
          <w:sz w:val="28"/>
          <w:szCs w:val="28"/>
          <w:lang w:val="en-US" w:eastAsia="zh-CN" w:bidi="ar-SA"/>
        </w:rPr>
        <w:t>10</w:t>
      </w:r>
      <w:r>
        <w:rPr>
          <w:rFonts w:hint="default" w:ascii="宋体" w:hAnsi="宋体" w:eastAsia="宋体" w:cs="宋体"/>
          <w:bCs/>
          <w:color w:val="auto"/>
          <w:kern w:val="0"/>
          <w:sz w:val="28"/>
          <w:szCs w:val="28"/>
          <w:lang w:eastAsia="zh-CN" w:bidi="ar-SA"/>
        </w:rPr>
        <w:t>.2.4</w:t>
      </w:r>
      <w:r>
        <w:rPr>
          <w:rFonts w:hint="eastAsia" w:ascii="宋体" w:hAnsi="宋体" w:eastAsia="宋体" w:cs="宋体"/>
          <w:bCs/>
          <w:color w:val="auto"/>
          <w:kern w:val="0"/>
          <w:sz w:val="28"/>
          <w:szCs w:val="28"/>
          <w:lang w:val="en-US" w:eastAsia="zh-CN" w:bidi="ar-SA"/>
        </w:rPr>
        <w:t xml:space="preserve"> </w:t>
      </w:r>
      <w:r>
        <w:rPr>
          <w:rFonts w:hint="default" w:ascii="宋体" w:hAnsi="宋体" w:eastAsia="宋体" w:cs="宋体"/>
          <w:bCs/>
          <w:color w:val="auto"/>
          <w:kern w:val="0"/>
          <w:sz w:val="28"/>
          <w:szCs w:val="28"/>
          <w:lang w:eastAsia="zh-CN" w:bidi="ar-SA"/>
        </w:rPr>
        <w:t>其他根本违约的情形。</w:t>
      </w:r>
    </w:p>
    <w:p w14:paraId="0AEFBCE1">
      <w:pPr>
        <w:pStyle w:val="8"/>
        <w:keepNext w:val="0"/>
        <w:keepLines w:val="0"/>
        <w:pageBreakBefore w:val="0"/>
        <w:widowControl w:val="0"/>
        <w:kinsoku/>
        <w:wordWrap/>
        <w:overflowPunct/>
        <w:topLinePunct w:val="0"/>
        <w:autoSpaceDE/>
        <w:autoSpaceDN/>
        <w:bidi w:val="0"/>
        <w:adjustRightInd/>
        <w:snapToGrid/>
        <w:spacing w:after="0" w:line="500" w:lineRule="exact"/>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十一、</w:t>
      </w:r>
      <w:r>
        <w:rPr>
          <w:rFonts w:hint="eastAsia" w:ascii="宋体" w:hAnsi="宋体" w:eastAsia="宋体" w:cs="宋体"/>
          <w:b/>
          <w:bCs/>
          <w:color w:val="auto"/>
          <w:sz w:val="28"/>
          <w:szCs w:val="28"/>
        </w:rPr>
        <w:t>违约责任</w:t>
      </w:r>
    </w:p>
    <w:p w14:paraId="09B2B1FB">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11.1 </w:t>
      </w:r>
      <w:r>
        <w:rPr>
          <w:rFonts w:hint="eastAsia" w:ascii="宋体" w:hAnsi="宋体" w:eastAsia="宋体" w:cs="宋体"/>
          <w:color w:val="auto"/>
          <w:sz w:val="28"/>
          <w:szCs w:val="28"/>
        </w:rPr>
        <w:t>如乙方未在约定时间内</w:t>
      </w:r>
      <w:r>
        <w:rPr>
          <w:rFonts w:hint="eastAsia" w:ascii="宋体" w:hAnsi="宋体" w:eastAsia="宋体" w:cs="宋体"/>
          <w:color w:val="auto"/>
          <w:sz w:val="28"/>
          <w:szCs w:val="28"/>
          <w:lang w:val="en-US" w:eastAsia="zh-CN"/>
        </w:rPr>
        <w:t>为甲方提供技术</w:t>
      </w:r>
      <w:r>
        <w:rPr>
          <w:rFonts w:hint="eastAsia" w:ascii="宋体" w:hAnsi="宋体" w:eastAsia="宋体" w:cs="宋体"/>
          <w:color w:val="auto"/>
          <w:sz w:val="28"/>
          <w:szCs w:val="28"/>
        </w:rPr>
        <w:t>服务，</w:t>
      </w:r>
      <w:r>
        <w:rPr>
          <w:rFonts w:hint="eastAsia" w:ascii="宋体" w:hAnsi="宋体" w:eastAsia="宋体" w:cs="宋体"/>
          <w:color w:val="auto"/>
          <w:sz w:val="28"/>
          <w:szCs w:val="28"/>
          <w:lang w:val="en-US" w:eastAsia="zh-CN"/>
        </w:rPr>
        <w:t>每出现一次或每逾期一天，</w:t>
      </w:r>
      <w:r>
        <w:rPr>
          <w:rFonts w:hint="eastAsia" w:ascii="宋体" w:hAnsi="宋体" w:cs="宋体"/>
          <w:color w:val="auto"/>
          <w:sz w:val="28"/>
          <w:szCs w:val="28"/>
          <w:lang w:val="en-US" w:eastAsia="zh-CN"/>
        </w:rPr>
        <w:t>乙方</w:t>
      </w:r>
      <w:r>
        <w:rPr>
          <w:rFonts w:hint="eastAsia" w:ascii="宋体" w:hAnsi="宋体" w:eastAsia="宋体" w:cs="宋体"/>
          <w:color w:val="auto"/>
          <w:sz w:val="28"/>
          <w:szCs w:val="28"/>
          <w:lang w:val="en-US" w:eastAsia="zh-CN"/>
        </w:rPr>
        <w:t>除为甲方顺延相应服务期限外，还应向甲方支付违约金</w:t>
      </w:r>
      <w:r>
        <w:rPr>
          <w:rFonts w:hint="eastAsia" w:ascii="宋体" w:hAnsi="宋体" w:eastAsia="宋体" w:cs="宋体"/>
          <w:color w:val="auto"/>
          <w:sz w:val="28"/>
          <w:szCs w:val="28"/>
          <w:u w:val="single"/>
          <w:lang w:val="en-US" w:eastAsia="zh-CN"/>
        </w:rPr>
        <w:t xml:space="preserve"> 100 </w:t>
      </w:r>
      <w:r>
        <w:rPr>
          <w:rFonts w:hint="eastAsia" w:ascii="宋体" w:hAnsi="宋体" w:eastAsia="宋体" w:cs="宋体"/>
          <w:color w:val="auto"/>
          <w:sz w:val="28"/>
          <w:szCs w:val="28"/>
          <w:lang w:val="en-US" w:eastAsia="zh-CN"/>
        </w:rPr>
        <w:t>元</w:t>
      </w:r>
      <w:r>
        <w:rPr>
          <w:rFonts w:hint="eastAsia" w:ascii="宋体" w:hAnsi="宋体" w:eastAsia="宋体" w:cs="宋体"/>
          <w:color w:val="auto"/>
          <w:sz w:val="28"/>
          <w:szCs w:val="28"/>
        </w:rPr>
        <w:t>。</w:t>
      </w:r>
    </w:p>
    <w:p w14:paraId="1AB7C17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11.2 如乙方单方面解除</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，或甲方因10.2情形解除</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，乙方除赔偿甲方由此造成的全部经济损失外，还须按本</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费用总金额的</w:t>
      </w:r>
      <w:r>
        <w:rPr>
          <w:rFonts w:hint="eastAsia" w:ascii="宋体" w:hAnsi="宋体" w:eastAsia="宋体" w:cs="宋体"/>
          <w:color w:val="auto"/>
          <w:sz w:val="28"/>
          <w:szCs w:val="28"/>
          <w:u w:val="single"/>
          <w:lang w:val="en-US" w:eastAsia="zh-CN"/>
        </w:rPr>
        <w:t xml:space="preserve"> 20% </w:t>
      </w:r>
      <w:r>
        <w:rPr>
          <w:rFonts w:hint="eastAsia" w:ascii="宋体" w:hAnsi="宋体" w:eastAsia="宋体" w:cs="宋体"/>
          <w:color w:val="auto"/>
          <w:sz w:val="28"/>
          <w:szCs w:val="28"/>
          <w:lang w:val="en-US" w:eastAsia="zh-CN"/>
        </w:rPr>
        <w:t>向甲方支付违约金。</w:t>
      </w:r>
    </w:p>
    <w:p w14:paraId="4E678714">
      <w:pPr>
        <w:keepNext w:val="0"/>
        <w:keepLines w:val="0"/>
        <w:pageBreakBefore w:val="0"/>
        <w:widowControl/>
        <w:kinsoku/>
        <w:wordWrap/>
        <w:overflowPunct/>
        <w:topLinePunct w:val="0"/>
        <w:autoSpaceDE/>
        <w:autoSpaceDN/>
        <w:bidi w:val="0"/>
        <w:adjustRightInd/>
        <w:snapToGrid/>
        <w:spacing w:line="500" w:lineRule="exact"/>
        <w:ind w:left="0" w:leftChars="0" w:firstLine="562" w:firstLineChars="200"/>
        <w:jc w:val="left"/>
        <w:textAlignment w:val="auto"/>
        <w:rPr>
          <w:rFonts w:hint="eastAsia" w:ascii="宋体" w:hAnsi="宋体" w:eastAsia="宋体" w:cs="宋体"/>
          <w:b/>
          <w:bCs/>
          <w:color w:val="auto"/>
          <w:sz w:val="28"/>
          <w:szCs w:val="28"/>
          <w:u w:val="single"/>
          <w:lang w:val="en-US" w:eastAsia="zh-CN"/>
        </w:rPr>
      </w:pPr>
      <w:r>
        <w:rPr>
          <w:rFonts w:hint="eastAsia" w:ascii="宋体" w:hAnsi="宋体" w:eastAsia="宋体" w:cs="宋体"/>
          <w:b/>
          <w:bCs/>
          <w:color w:val="auto"/>
          <w:sz w:val="28"/>
          <w:szCs w:val="28"/>
          <w:u w:val="single"/>
          <w:lang w:val="en-US" w:eastAsia="zh-CN"/>
        </w:rPr>
        <w:t>11.3 无论甲方在任意时候（不限于本</w:t>
      </w:r>
      <w:r>
        <w:rPr>
          <w:rFonts w:hint="eastAsia" w:ascii="宋体" w:hAnsi="宋体" w:cs="宋体"/>
          <w:b/>
          <w:bCs/>
          <w:color w:val="auto"/>
          <w:sz w:val="28"/>
          <w:szCs w:val="28"/>
          <w:u w:val="single"/>
          <w:lang w:val="en-US" w:eastAsia="zh-CN"/>
        </w:rPr>
        <w:t>协议</w:t>
      </w:r>
      <w:r>
        <w:rPr>
          <w:rFonts w:hint="eastAsia" w:ascii="宋体" w:hAnsi="宋体" w:eastAsia="宋体" w:cs="宋体"/>
          <w:b/>
          <w:bCs/>
          <w:color w:val="auto"/>
          <w:sz w:val="28"/>
          <w:szCs w:val="28"/>
          <w:u w:val="single"/>
          <w:lang w:val="en-US" w:eastAsia="zh-CN"/>
        </w:rPr>
        <w:t>履行期间）发现存在违反本</w:t>
      </w:r>
      <w:r>
        <w:rPr>
          <w:rFonts w:hint="eastAsia" w:ascii="宋体" w:hAnsi="宋体" w:cs="宋体"/>
          <w:b/>
          <w:bCs/>
          <w:color w:val="auto"/>
          <w:sz w:val="28"/>
          <w:szCs w:val="28"/>
          <w:u w:val="single"/>
          <w:lang w:val="en-US" w:eastAsia="zh-CN"/>
        </w:rPr>
        <w:t>协议</w:t>
      </w:r>
      <w:r>
        <w:rPr>
          <w:rFonts w:hint="eastAsia" w:ascii="宋体" w:hAnsi="宋体" w:eastAsia="宋体" w:cs="宋体"/>
          <w:b/>
          <w:bCs/>
          <w:color w:val="auto"/>
          <w:sz w:val="28"/>
          <w:szCs w:val="28"/>
          <w:u w:val="single"/>
          <w:lang w:val="en-US" w:eastAsia="zh-CN"/>
        </w:rPr>
        <w:t>廉洁条款约定的行为，乙方均须向甲方一次性支付惩罚性违约金7000.00元。如乙方除需承担违反廉洁条款的违约责任外，同时存在其他违约行为，乙方仍须就其他违约行为承担相应违约责任。</w:t>
      </w:r>
    </w:p>
    <w:p w14:paraId="6A5C03F1">
      <w:pPr>
        <w:keepNext w:val="0"/>
        <w:keepLines w:val="0"/>
        <w:pageBreakBefore w:val="0"/>
        <w:widowControl/>
        <w:kinsoku/>
        <w:wordWrap/>
        <w:overflowPunct/>
        <w:topLinePunct w:val="0"/>
        <w:autoSpaceDE/>
        <w:autoSpaceDN/>
        <w:bidi w:val="0"/>
        <w:adjustRightInd/>
        <w:snapToGrid/>
        <w:spacing w:line="500" w:lineRule="exact"/>
        <w:ind w:left="0" w:leftChars="0" w:firstLine="562" w:firstLineChars="200"/>
        <w:jc w:val="left"/>
        <w:textAlignment w:val="auto"/>
        <w:rPr>
          <w:rFonts w:hint="default" w:ascii="宋体" w:hAnsi="宋体" w:eastAsia="宋体" w:cs="宋体"/>
          <w:b/>
          <w:bCs/>
          <w:color w:val="auto"/>
          <w:sz w:val="28"/>
          <w:szCs w:val="28"/>
          <w:u w:val="single"/>
          <w:lang w:val="en-US" w:eastAsia="zh-CN"/>
        </w:rPr>
      </w:pPr>
      <w:r>
        <w:rPr>
          <w:rFonts w:hint="eastAsia" w:ascii="宋体" w:hAnsi="宋体" w:eastAsia="宋体" w:cs="宋体"/>
          <w:b/>
          <w:bCs/>
          <w:color w:val="auto"/>
          <w:sz w:val="28"/>
          <w:szCs w:val="28"/>
          <w:u w:val="single"/>
          <w:lang w:val="en-US" w:eastAsia="zh-CN"/>
        </w:rPr>
        <w:t>11.4 依据本</w:t>
      </w:r>
      <w:r>
        <w:rPr>
          <w:rFonts w:hint="eastAsia" w:ascii="宋体" w:hAnsi="宋体" w:cs="宋体"/>
          <w:b/>
          <w:bCs/>
          <w:color w:val="auto"/>
          <w:sz w:val="28"/>
          <w:szCs w:val="28"/>
          <w:u w:val="single"/>
          <w:lang w:val="en-US" w:eastAsia="zh-CN"/>
        </w:rPr>
        <w:t>协议</w:t>
      </w:r>
      <w:r>
        <w:rPr>
          <w:rFonts w:hint="eastAsia" w:ascii="宋体" w:hAnsi="宋体" w:eastAsia="宋体" w:cs="宋体"/>
          <w:b/>
          <w:bCs/>
          <w:color w:val="auto"/>
          <w:sz w:val="28"/>
          <w:szCs w:val="28"/>
          <w:u w:val="single"/>
          <w:lang w:val="en-US" w:eastAsia="zh-CN"/>
        </w:rPr>
        <w:t>约定乙方应支付给甲方的违约金，甲方有权在应支付给乙方的任意价款中直接予以扣除，如扣除部分不足，乙方应在接到甲方通知后3日内补足。</w:t>
      </w:r>
    </w:p>
    <w:p w14:paraId="637A60C3">
      <w:pPr>
        <w:pStyle w:val="8"/>
        <w:keepNext w:val="0"/>
        <w:keepLines w:val="0"/>
        <w:pageBreakBefore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11.5 如一方违约导致另一方通过诉讼主张权利，由此给守约方造成经济损失包括但不限于诉讼费、律师费、保全保险费等，均由违约方承担。</w:t>
      </w:r>
    </w:p>
    <w:p w14:paraId="2B898034">
      <w:pPr>
        <w:keepNext w:val="0"/>
        <w:keepLines w:val="0"/>
        <w:pageBreakBefore w:val="0"/>
        <w:kinsoku/>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lang w:val="en-US" w:eastAsia="zh-CN"/>
        </w:rPr>
        <w:t>十二、</w:t>
      </w:r>
      <w:r>
        <w:rPr>
          <w:rFonts w:hint="eastAsia" w:ascii="宋体" w:hAnsi="宋体" w:eastAsia="宋体" w:cs="宋体"/>
          <w:b/>
          <w:bCs/>
          <w:color w:val="auto"/>
          <w:sz w:val="28"/>
          <w:szCs w:val="28"/>
        </w:rPr>
        <w:t>争议解决</w:t>
      </w:r>
    </w:p>
    <w:p w14:paraId="5E3B88DE">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如双方在履行</w:t>
      </w:r>
      <w:r>
        <w:rPr>
          <w:rFonts w:hint="eastAsia" w:ascii="宋体" w:hAnsi="宋体" w:eastAsia="宋体" w:cs="宋体"/>
          <w:color w:val="auto"/>
          <w:sz w:val="28"/>
          <w:szCs w:val="28"/>
          <w:lang w:eastAsia="zh-CN"/>
        </w:rPr>
        <w:t>本协议</w:t>
      </w:r>
      <w:r>
        <w:rPr>
          <w:rFonts w:hint="eastAsia" w:ascii="宋体" w:hAnsi="宋体" w:eastAsia="宋体" w:cs="宋体"/>
          <w:color w:val="auto"/>
          <w:sz w:val="28"/>
          <w:szCs w:val="28"/>
        </w:rPr>
        <w:t>过程中发生争议，双方应先协商解决，协商解决不成的，任一方均可向甲方所在地有管辖权的人民法院提起诉讼解决。</w:t>
      </w:r>
    </w:p>
    <w:p w14:paraId="58DA8C46">
      <w:pPr>
        <w:keepNext w:val="0"/>
        <w:keepLines w:val="0"/>
        <w:pageBreakBefore w:val="0"/>
        <w:widowControl/>
        <w:numPr>
          <w:ilvl w:val="0"/>
          <w:numId w:val="0"/>
        </w:numPr>
        <w:kinsoku/>
        <w:wordWrap/>
        <w:overflowPunct/>
        <w:topLinePunct w:val="0"/>
        <w:autoSpaceDE/>
        <w:autoSpaceDN/>
        <w:bidi w:val="0"/>
        <w:adjustRightInd/>
        <w:snapToGrid/>
        <w:spacing w:line="500" w:lineRule="exact"/>
        <w:ind w:left="0" w:leftChars="0" w:firstLine="562" w:firstLineChars="200"/>
        <w:jc w:val="left"/>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十三、</w:t>
      </w:r>
      <w:r>
        <w:rPr>
          <w:rFonts w:hint="eastAsia" w:ascii="宋体" w:hAnsi="宋体" w:eastAsia="宋体" w:cs="宋体"/>
          <w:b/>
          <w:bCs/>
          <w:color w:val="auto"/>
          <w:sz w:val="28"/>
          <w:szCs w:val="28"/>
          <w:lang w:val="en-US" w:eastAsia="zh-CN"/>
        </w:rPr>
        <w:t>附则</w:t>
      </w:r>
    </w:p>
    <w:p w14:paraId="4D7B1B77">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13.1 本</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组成文件和优先解释顺序：乙方在履行本</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中作出的书面承诺；本</w:t>
      </w:r>
      <w:r>
        <w:rPr>
          <w:rFonts w:hint="eastAsia" w:ascii="宋体" w:hAnsi="宋体" w:cs="宋体"/>
          <w:color w:val="auto"/>
          <w:sz w:val="28"/>
          <w:szCs w:val="28"/>
          <w:lang w:val="en-US" w:eastAsia="zh-CN"/>
        </w:rPr>
        <w:t>协议之</w:t>
      </w:r>
      <w:r>
        <w:rPr>
          <w:rFonts w:hint="eastAsia" w:ascii="宋体" w:hAnsi="宋体" w:eastAsia="宋体" w:cs="宋体"/>
          <w:color w:val="auto"/>
          <w:sz w:val="28"/>
          <w:szCs w:val="28"/>
          <w:lang w:val="en-US" w:eastAsia="zh-CN"/>
        </w:rPr>
        <w:t>补充协议；本</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及附件；</w:t>
      </w:r>
      <w:r>
        <w:rPr>
          <w:rFonts w:hint="eastAsia" w:ascii="宋体" w:hAnsi="宋体" w:eastAsia="宋体" w:cs="宋体"/>
          <w:color w:val="auto"/>
          <w:sz w:val="28"/>
          <w:szCs w:val="28"/>
          <w:highlight w:val="none"/>
          <w:lang w:val="en-US" w:eastAsia="zh-CN"/>
        </w:rPr>
        <w:t>议价结果公示</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采购需求及响应；</w:t>
      </w:r>
      <w:r>
        <w:rPr>
          <w:rFonts w:hint="eastAsia" w:ascii="宋体" w:hAnsi="宋体" w:eastAsia="宋体" w:cs="宋体"/>
          <w:color w:val="auto"/>
          <w:sz w:val="28"/>
          <w:szCs w:val="28"/>
          <w:lang w:val="en-US" w:eastAsia="zh-CN"/>
        </w:rPr>
        <w:t>其他与本</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有关的资料。</w:t>
      </w:r>
    </w:p>
    <w:p w14:paraId="5A496C7E">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13.2 </w:t>
      </w:r>
      <w:r>
        <w:rPr>
          <w:rFonts w:hint="eastAsia" w:ascii="宋体" w:hAnsi="宋体" w:eastAsia="宋体" w:cs="宋体"/>
          <w:color w:val="auto"/>
          <w:sz w:val="28"/>
          <w:szCs w:val="28"/>
          <w:lang w:eastAsia="zh-CN"/>
        </w:rPr>
        <w:t>本协议</w:t>
      </w:r>
      <w:r>
        <w:rPr>
          <w:rFonts w:hint="eastAsia" w:ascii="宋体" w:hAnsi="宋体" w:eastAsia="宋体" w:cs="宋体"/>
          <w:color w:val="auto"/>
          <w:sz w:val="28"/>
          <w:szCs w:val="28"/>
        </w:rPr>
        <w:t>一式肆份，甲方执叁份，乙方执壹份，自甲、乙双方签字</w:t>
      </w:r>
      <w:r>
        <w:rPr>
          <w:rFonts w:hint="eastAsia" w:ascii="宋体" w:hAnsi="宋体" w:eastAsia="宋体" w:cs="宋体"/>
          <w:color w:val="auto"/>
          <w:sz w:val="28"/>
          <w:szCs w:val="28"/>
          <w:lang w:val="en-US" w:eastAsia="zh-CN"/>
        </w:rPr>
        <w:t>并</w:t>
      </w:r>
      <w:r>
        <w:rPr>
          <w:rFonts w:hint="eastAsia" w:ascii="宋体" w:hAnsi="宋体" w:eastAsia="宋体" w:cs="宋体"/>
          <w:color w:val="auto"/>
          <w:sz w:val="28"/>
          <w:szCs w:val="28"/>
        </w:rPr>
        <w:t>盖章之日起生效。</w:t>
      </w:r>
    </w:p>
    <w:p w14:paraId="2EDD08F9">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rPr>
      </w:pPr>
    </w:p>
    <w:p w14:paraId="4A8C8A2D">
      <w:pPr>
        <w:keepNext w:val="0"/>
        <w:keepLines w:val="0"/>
        <w:pageBreakBefore w:val="0"/>
        <w:kinsoku/>
        <w:wordWrap/>
        <w:overflowPunct/>
        <w:topLinePunct w:val="0"/>
        <w:autoSpaceDE/>
        <w:autoSpaceDN/>
        <w:bidi w:val="0"/>
        <w:adjustRightInd/>
        <w:snapToGrid/>
        <w:spacing w:line="440" w:lineRule="exact"/>
        <w:ind w:left="0" w:leftChars="0"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甲方</w:t>
      </w:r>
      <w:r>
        <w:rPr>
          <w:rFonts w:hint="eastAsia" w:ascii="宋体" w:hAnsi="宋体" w:eastAsia="宋体" w:cs="宋体"/>
          <w:color w:val="auto"/>
          <w:sz w:val="28"/>
          <w:szCs w:val="28"/>
        </w:rPr>
        <w:t xml:space="preserve">（盖章）：娄底市中心医院  </w:t>
      </w:r>
    </w:p>
    <w:p w14:paraId="32BFC377">
      <w:pPr>
        <w:keepNext w:val="0"/>
        <w:keepLines w:val="0"/>
        <w:pageBreakBefore w:val="0"/>
        <w:kinsoku/>
        <w:wordWrap/>
        <w:overflowPunct/>
        <w:topLinePunct w:val="0"/>
        <w:autoSpaceDE/>
        <w:autoSpaceDN/>
        <w:bidi w:val="0"/>
        <w:adjustRightInd/>
        <w:snapToGrid/>
        <w:spacing w:line="440" w:lineRule="exact"/>
        <w:ind w:left="0" w:leftChars="0" w:firstLine="560" w:firstLineChars="200"/>
        <w:textAlignment w:val="auto"/>
        <w:rPr>
          <w:rFonts w:hint="eastAsia" w:ascii="宋体" w:hAnsi="宋体" w:eastAsia="宋体" w:cs="宋体"/>
          <w:color w:val="auto"/>
          <w:sz w:val="28"/>
          <w:szCs w:val="28"/>
        </w:rPr>
      </w:pPr>
    </w:p>
    <w:p w14:paraId="1CAF0609">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法定代表人（签字）：</w:t>
      </w:r>
    </w:p>
    <w:p w14:paraId="4322832A">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宋体" w:hAnsi="宋体" w:eastAsia="宋体" w:cs="宋体"/>
          <w:color w:val="auto"/>
          <w:sz w:val="28"/>
          <w:szCs w:val="28"/>
        </w:rPr>
      </w:pPr>
    </w:p>
    <w:p w14:paraId="40900C81">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或委托代理人（签字）：</w:t>
      </w:r>
    </w:p>
    <w:p w14:paraId="7EA92C43">
      <w:pPr>
        <w:keepNext w:val="0"/>
        <w:keepLines w:val="0"/>
        <w:pageBreakBefore w:val="0"/>
        <w:kinsoku/>
        <w:wordWrap/>
        <w:overflowPunct/>
        <w:topLinePunct w:val="0"/>
        <w:autoSpaceDE/>
        <w:autoSpaceDN/>
        <w:bidi w:val="0"/>
        <w:adjustRightInd/>
        <w:snapToGrid/>
        <w:spacing w:line="440" w:lineRule="exact"/>
        <w:ind w:left="0" w:leftChars="0" w:firstLine="560" w:firstLineChars="200"/>
        <w:textAlignment w:val="auto"/>
        <w:rPr>
          <w:rFonts w:hint="eastAsia" w:ascii="宋体" w:hAnsi="宋体" w:eastAsia="宋体" w:cs="宋体"/>
          <w:color w:val="auto"/>
          <w:sz w:val="28"/>
          <w:szCs w:val="28"/>
        </w:rPr>
      </w:pPr>
    </w:p>
    <w:p w14:paraId="35DA4D52">
      <w:pPr>
        <w:keepNext w:val="0"/>
        <w:keepLines w:val="0"/>
        <w:pageBreakBefore w:val="0"/>
        <w:kinsoku/>
        <w:wordWrap/>
        <w:overflowPunct/>
        <w:topLinePunct w:val="0"/>
        <w:autoSpaceDE/>
        <w:autoSpaceDN/>
        <w:bidi w:val="0"/>
        <w:adjustRightInd/>
        <w:snapToGrid/>
        <w:spacing w:line="440" w:lineRule="exact"/>
        <w:ind w:left="0" w:leftChars="0"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乙方</w:t>
      </w:r>
      <w:r>
        <w:rPr>
          <w:rFonts w:hint="eastAsia" w:ascii="宋体" w:hAnsi="宋体" w:eastAsia="宋体" w:cs="宋体"/>
          <w:color w:val="auto"/>
          <w:sz w:val="28"/>
          <w:szCs w:val="28"/>
        </w:rPr>
        <w:t>（盖章）：湖南尔葆健康科技有限公司</w:t>
      </w:r>
    </w:p>
    <w:p w14:paraId="5EAFB66F">
      <w:pPr>
        <w:keepNext w:val="0"/>
        <w:keepLines w:val="0"/>
        <w:pageBreakBefore w:val="0"/>
        <w:kinsoku/>
        <w:wordWrap/>
        <w:overflowPunct/>
        <w:topLinePunct w:val="0"/>
        <w:autoSpaceDE/>
        <w:autoSpaceDN/>
        <w:bidi w:val="0"/>
        <w:adjustRightInd/>
        <w:snapToGrid/>
        <w:spacing w:line="440" w:lineRule="exact"/>
        <w:ind w:left="0" w:leftChars="0" w:firstLine="560" w:firstLineChars="200"/>
        <w:textAlignment w:val="auto"/>
        <w:rPr>
          <w:rFonts w:hint="eastAsia" w:ascii="宋体" w:hAnsi="宋体" w:eastAsia="宋体" w:cs="宋体"/>
          <w:color w:val="auto"/>
          <w:sz w:val="28"/>
          <w:szCs w:val="28"/>
        </w:rPr>
      </w:pPr>
    </w:p>
    <w:p w14:paraId="712AC627">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法定代表人（签字）：</w:t>
      </w:r>
    </w:p>
    <w:p w14:paraId="66B882EA">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宋体" w:hAnsi="宋体" w:eastAsia="宋体" w:cs="宋体"/>
          <w:color w:val="auto"/>
          <w:sz w:val="28"/>
          <w:szCs w:val="28"/>
        </w:rPr>
      </w:pPr>
    </w:p>
    <w:p w14:paraId="0B29C024">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或委托代理人（签字）： </w:t>
      </w:r>
    </w:p>
    <w:p w14:paraId="2B72EEEF">
      <w:pPr>
        <w:pStyle w:val="8"/>
        <w:keepNext w:val="0"/>
        <w:keepLines w:val="0"/>
        <w:pageBreakBefore w:val="0"/>
        <w:kinsoku/>
        <w:wordWrap/>
        <w:overflowPunct/>
        <w:topLinePunct w:val="0"/>
        <w:autoSpaceDE/>
        <w:autoSpaceDN/>
        <w:bidi w:val="0"/>
        <w:adjustRightInd/>
        <w:snapToGrid/>
        <w:spacing w:after="0" w:line="440" w:lineRule="exact"/>
        <w:ind w:left="0" w:leftChars="0" w:firstLine="560" w:firstLineChars="200"/>
        <w:textAlignment w:val="auto"/>
        <w:rPr>
          <w:rFonts w:hint="eastAsia" w:ascii="宋体" w:hAnsi="宋体" w:eastAsia="宋体" w:cs="宋体"/>
          <w:color w:val="auto"/>
          <w:sz w:val="28"/>
          <w:szCs w:val="28"/>
        </w:rPr>
      </w:pPr>
    </w:p>
    <w:p w14:paraId="331800A7">
      <w:pPr>
        <w:keepNext w:val="0"/>
        <w:keepLines w:val="0"/>
        <w:pageBreakBefore w:val="0"/>
        <w:kinsoku/>
        <w:wordWrap/>
        <w:overflowPunct/>
        <w:topLinePunct w:val="0"/>
        <w:autoSpaceDE/>
        <w:autoSpaceDN/>
        <w:bidi w:val="0"/>
        <w:adjustRightInd/>
        <w:snapToGrid/>
        <w:spacing w:line="44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协议</w:t>
      </w:r>
      <w:r>
        <w:rPr>
          <w:rFonts w:hint="eastAsia" w:ascii="宋体" w:hAnsi="宋体" w:eastAsia="宋体" w:cs="宋体"/>
          <w:color w:val="auto"/>
          <w:sz w:val="28"/>
          <w:szCs w:val="28"/>
          <w:lang w:val="en-US" w:eastAsia="zh-CN"/>
        </w:rPr>
        <w:t>签订地：娄底市娄星区      签订时间：    年   月   日</w:t>
      </w:r>
    </w:p>
    <w:p w14:paraId="250C3369">
      <w:pPr>
        <w:keepNext w:val="0"/>
        <w:keepLines w:val="0"/>
        <w:pageBreakBefore w:val="0"/>
        <w:kinsoku/>
        <w:wordWrap/>
        <w:overflowPunct/>
        <w:topLinePunct w:val="0"/>
        <w:autoSpaceDE/>
        <w:autoSpaceDN/>
        <w:bidi w:val="0"/>
        <w:adjustRightInd/>
        <w:snapToGrid/>
        <w:spacing w:line="440" w:lineRule="exact"/>
        <w:ind w:left="0" w:leftChars="0" w:firstLine="560" w:firstLineChars="200"/>
        <w:textAlignment w:val="auto"/>
        <w:rPr>
          <w:rFonts w:hint="eastAsia" w:ascii="宋体" w:hAnsi="宋体" w:eastAsia="宋体" w:cs="宋体"/>
          <w:color w:val="auto"/>
          <w:sz w:val="28"/>
          <w:szCs w:val="28"/>
        </w:rPr>
      </w:pPr>
    </w:p>
    <w:p w14:paraId="551629C6">
      <w:pPr>
        <w:pStyle w:val="8"/>
        <w:pageBreakBefore w:val="0"/>
        <w:kinsoku/>
        <w:wordWrap/>
        <w:overflowPunct/>
        <w:topLinePunct w:val="0"/>
        <w:autoSpaceDE/>
        <w:autoSpaceDN/>
        <w:bidi w:val="0"/>
        <w:adjustRightInd/>
        <w:snapToGrid/>
        <w:spacing w:after="0" w:line="500" w:lineRule="exact"/>
        <w:ind w:left="0" w:leftChars="0" w:firstLine="420" w:firstLineChars="200"/>
        <w:textAlignment w:val="auto"/>
        <w:rPr>
          <w:color w:val="auto"/>
        </w:rPr>
      </w:pPr>
    </w:p>
    <w:p w14:paraId="6B8BA334">
      <w:pPr>
        <w:pStyle w:val="8"/>
        <w:pageBreakBefore w:val="0"/>
        <w:kinsoku/>
        <w:wordWrap/>
        <w:overflowPunct/>
        <w:topLinePunct w:val="0"/>
        <w:autoSpaceDE/>
        <w:autoSpaceDN/>
        <w:bidi w:val="0"/>
        <w:adjustRightInd/>
        <w:snapToGrid/>
        <w:spacing w:after="0" w:line="500" w:lineRule="exact"/>
        <w:ind w:left="0" w:leftChars="0" w:firstLine="420" w:firstLineChars="200"/>
        <w:textAlignment w:val="auto"/>
        <w:rPr>
          <w:color w:val="auto"/>
        </w:rPr>
      </w:pPr>
    </w:p>
    <w:p w14:paraId="269D6A34">
      <w:pPr>
        <w:pStyle w:val="8"/>
        <w:pageBreakBefore w:val="0"/>
        <w:kinsoku/>
        <w:wordWrap/>
        <w:overflowPunct/>
        <w:topLinePunct w:val="0"/>
        <w:autoSpaceDE/>
        <w:autoSpaceDN/>
        <w:bidi w:val="0"/>
        <w:adjustRightInd/>
        <w:snapToGrid/>
        <w:spacing w:after="0" w:line="500" w:lineRule="exact"/>
        <w:ind w:left="0" w:leftChars="0" w:firstLine="420" w:firstLineChars="200"/>
        <w:textAlignment w:val="auto"/>
        <w:rPr>
          <w:color w:val="auto"/>
        </w:rPr>
      </w:pPr>
    </w:p>
    <w:p w14:paraId="3078680D">
      <w:pPr>
        <w:pStyle w:val="8"/>
        <w:pageBreakBefore w:val="0"/>
        <w:kinsoku/>
        <w:wordWrap/>
        <w:overflowPunct/>
        <w:topLinePunct w:val="0"/>
        <w:autoSpaceDE/>
        <w:autoSpaceDN/>
        <w:bidi w:val="0"/>
        <w:adjustRightInd/>
        <w:snapToGrid/>
        <w:spacing w:after="0" w:line="500" w:lineRule="exact"/>
        <w:ind w:left="0" w:leftChars="0" w:firstLine="420" w:firstLineChars="200"/>
        <w:textAlignment w:val="auto"/>
        <w:rPr>
          <w:color w:val="auto"/>
        </w:rPr>
      </w:pPr>
    </w:p>
    <w:p w14:paraId="59FE1288">
      <w:pPr>
        <w:pStyle w:val="8"/>
        <w:pageBreakBefore w:val="0"/>
        <w:kinsoku/>
        <w:wordWrap/>
        <w:overflowPunct/>
        <w:topLinePunct w:val="0"/>
        <w:autoSpaceDE/>
        <w:autoSpaceDN/>
        <w:bidi w:val="0"/>
        <w:adjustRightInd/>
        <w:snapToGrid/>
        <w:spacing w:after="0" w:line="500" w:lineRule="exact"/>
        <w:ind w:left="0" w:leftChars="0" w:firstLine="420" w:firstLineChars="200"/>
        <w:textAlignment w:val="auto"/>
        <w:rPr>
          <w:color w:val="auto"/>
        </w:rPr>
      </w:pPr>
    </w:p>
    <w:p w14:paraId="025B4638">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b w:val="0"/>
          <w:bCs/>
          <w:color w:val="auto"/>
          <w:sz w:val="32"/>
          <w:szCs w:val="32"/>
          <w:lang w:val="en-US" w:eastAsia="zh-CN"/>
        </w:rPr>
      </w:pPr>
      <w:r>
        <w:rPr>
          <w:rFonts w:hint="eastAsia"/>
          <w:b w:val="0"/>
          <w:bCs/>
          <w:color w:val="auto"/>
          <w:sz w:val="32"/>
          <w:szCs w:val="32"/>
          <w:lang w:val="en-US" w:eastAsia="zh-CN"/>
        </w:rPr>
        <w:t>附件一：</w:t>
      </w:r>
    </w:p>
    <w:p w14:paraId="28A76BE7">
      <w:pPr>
        <w:pageBreakBefore w:val="0"/>
        <w:kinsoku/>
        <w:wordWrap/>
        <w:overflowPunct/>
        <w:topLinePunct w:val="0"/>
        <w:autoSpaceDE/>
        <w:autoSpaceDN/>
        <w:bidi w:val="0"/>
        <w:adjustRightInd/>
        <w:snapToGrid/>
        <w:spacing w:line="400" w:lineRule="exact"/>
        <w:ind w:left="0" w:leftChars="0" w:firstLine="0" w:firstLineChars="0"/>
        <w:jc w:val="center"/>
        <w:textAlignment w:val="auto"/>
        <w:rPr>
          <w:b/>
          <w:bCs w:val="0"/>
          <w:color w:val="auto"/>
          <w:sz w:val="32"/>
          <w:szCs w:val="32"/>
        </w:rPr>
      </w:pPr>
      <w:r>
        <w:rPr>
          <w:rFonts w:hint="eastAsia"/>
          <w:b/>
          <w:bCs w:val="0"/>
          <w:color w:val="auto"/>
          <w:sz w:val="32"/>
          <w:szCs w:val="32"/>
        </w:rPr>
        <w:t>儿童健康测评系统基础版内容</w:t>
      </w:r>
    </w:p>
    <w:tbl>
      <w:tblPr>
        <w:tblStyle w:val="11"/>
        <w:tblW w:w="0" w:type="auto"/>
        <w:tblInd w:w="93" w:type="dxa"/>
        <w:tblLayout w:type="fixed"/>
        <w:tblCellMar>
          <w:top w:w="0" w:type="dxa"/>
          <w:left w:w="108" w:type="dxa"/>
          <w:bottom w:w="0" w:type="dxa"/>
          <w:right w:w="108" w:type="dxa"/>
        </w:tblCellMar>
      </w:tblPr>
      <w:tblGrid>
        <w:gridCol w:w="995"/>
        <w:gridCol w:w="2813"/>
        <w:gridCol w:w="4537"/>
        <w:gridCol w:w="1213"/>
      </w:tblGrid>
      <w:tr w14:paraId="5D80D213">
        <w:tblPrEx>
          <w:tblCellMar>
            <w:top w:w="0" w:type="dxa"/>
            <w:left w:w="108" w:type="dxa"/>
            <w:bottom w:w="0" w:type="dxa"/>
            <w:right w:w="108" w:type="dxa"/>
          </w:tblCellMar>
        </w:tblPrEx>
        <w:trPr>
          <w:trHeight w:val="270" w:hRule="atLeast"/>
        </w:trPr>
        <w:tc>
          <w:tcPr>
            <w:tcW w:w="995" w:type="dxa"/>
            <w:tcBorders>
              <w:top w:val="single" w:color="auto" w:sz="4" w:space="0"/>
              <w:left w:val="single" w:color="auto" w:sz="4" w:space="0"/>
              <w:bottom w:val="single" w:color="auto" w:sz="4" w:space="0"/>
              <w:right w:val="single" w:color="auto" w:sz="4" w:space="0"/>
            </w:tcBorders>
            <w:noWrap w:val="0"/>
            <w:vAlign w:val="top"/>
          </w:tcPr>
          <w:p w14:paraId="602148B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序号</w:t>
            </w:r>
          </w:p>
        </w:tc>
        <w:tc>
          <w:tcPr>
            <w:tcW w:w="2813" w:type="dxa"/>
            <w:tcBorders>
              <w:top w:val="single" w:color="auto" w:sz="4" w:space="0"/>
              <w:left w:val="single" w:color="auto" w:sz="4" w:space="0"/>
              <w:bottom w:val="single" w:color="auto" w:sz="4" w:space="0"/>
              <w:right w:val="single" w:color="auto" w:sz="4" w:space="0"/>
            </w:tcBorders>
            <w:noWrap w:val="0"/>
            <w:vAlign w:val="center"/>
          </w:tcPr>
          <w:p w14:paraId="0C96AAE3">
            <w:pPr>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类   别</w:t>
            </w:r>
          </w:p>
        </w:tc>
        <w:tc>
          <w:tcPr>
            <w:tcW w:w="4537" w:type="dxa"/>
            <w:tcBorders>
              <w:top w:val="single" w:color="auto" w:sz="4" w:space="0"/>
              <w:left w:val="nil"/>
              <w:bottom w:val="single" w:color="auto" w:sz="4" w:space="0"/>
              <w:right w:val="single" w:color="auto" w:sz="4" w:space="0"/>
            </w:tcBorders>
            <w:noWrap w:val="0"/>
            <w:vAlign w:val="center"/>
          </w:tcPr>
          <w:p w14:paraId="1BFDDC88">
            <w:pPr>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名  称</w:t>
            </w:r>
          </w:p>
        </w:tc>
        <w:tc>
          <w:tcPr>
            <w:tcW w:w="1213" w:type="dxa"/>
            <w:tcBorders>
              <w:top w:val="single" w:color="auto" w:sz="4" w:space="0"/>
              <w:left w:val="nil"/>
              <w:bottom w:val="single" w:color="auto" w:sz="4" w:space="0"/>
              <w:right w:val="single" w:color="auto" w:sz="4" w:space="0"/>
            </w:tcBorders>
            <w:noWrap w:val="0"/>
            <w:vAlign w:val="center"/>
          </w:tcPr>
          <w:p w14:paraId="65FEF8F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备注</w:t>
            </w:r>
          </w:p>
        </w:tc>
      </w:tr>
      <w:tr w14:paraId="2AA8F4E7">
        <w:tblPrEx>
          <w:tblCellMar>
            <w:top w:w="0" w:type="dxa"/>
            <w:left w:w="108" w:type="dxa"/>
            <w:bottom w:w="0" w:type="dxa"/>
            <w:right w:w="108" w:type="dxa"/>
          </w:tblCellMar>
        </w:tblPrEx>
        <w:trPr>
          <w:trHeight w:val="80" w:hRule="atLeast"/>
        </w:trPr>
        <w:tc>
          <w:tcPr>
            <w:tcW w:w="995" w:type="dxa"/>
            <w:tcBorders>
              <w:top w:val="single" w:color="auto" w:sz="4" w:space="0"/>
              <w:left w:val="single" w:color="auto" w:sz="4" w:space="0"/>
              <w:right w:val="single" w:color="auto" w:sz="4" w:space="0"/>
            </w:tcBorders>
            <w:noWrap w:val="0"/>
            <w:vAlign w:val="top"/>
          </w:tcPr>
          <w:p w14:paraId="3A55F79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1</w:t>
            </w:r>
          </w:p>
        </w:tc>
        <w:tc>
          <w:tcPr>
            <w:tcW w:w="2813" w:type="dxa"/>
            <w:vMerge w:val="restart"/>
            <w:tcBorders>
              <w:top w:val="single" w:color="auto" w:sz="4" w:space="0"/>
              <w:left w:val="single" w:color="auto" w:sz="4" w:space="0"/>
              <w:right w:val="single" w:color="auto" w:sz="4" w:space="0"/>
            </w:tcBorders>
            <w:noWrap w:val="0"/>
            <w:vAlign w:val="center"/>
          </w:tcPr>
          <w:p w14:paraId="596F79B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bCs/>
                <w:color w:val="auto"/>
                <w:kern w:val="0"/>
                <w:sz w:val="28"/>
                <w:szCs w:val="28"/>
              </w:rPr>
              <w:t>儿童体格生长测评</w:t>
            </w:r>
          </w:p>
        </w:tc>
        <w:tc>
          <w:tcPr>
            <w:tcW w:w="4537" w:type="dxa"/>
            <w:tcBorders>
              <w:top w:val="nil"/>
              <w:left w:val="nil"/>
              <w:bottom w:val="single" w:color="auto" w:sz="4" w:space="0"/>
              <w:right w:val="single" w:color="auto" w:sz="4" w:space="0"/>
            </w:tcBorders>
            <w:noWrap w:val="0"/>
            <w:vAlign w:val="center"/>
          </w:tcPr>
          <w:p w14:paraId="6940F2C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儿童体格生长测评</w:t>
            </w:r>
          </w:p>
        </w:tc>
        <w:tc>
          <w:tcPr>
            <w:tcW w:w="1213" w:type="dxa"/>
            <w:tcBorders>
              <w:top w:val="nil"/>
              <w:left w:val="nil"/>
              <w:bottom w:val="single" w:color="auto" w:sz="4" w:space="0"/>
              <w:right w:val="single" w:color="auto" w:sz="4" w:space="0"/>
            </w:tcBorders>
            <w:noWrap w:val="0"/>
            <w:vAlign w:val="center"/>
          </w:tcPr>
          <w:p w14:paraId="6411FDE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33F07EEA">
        <w:tblPrEx>
          <w:tblCellMar>
            <w:top w:w="0" w:type="dxa"/>
            <w:left w:w="108" w:type="dxa"/>
            <w:bottom w:w="0" w:type="dxa"/>
            <w:right w:w="108" w:type="dxa"/>
          </w:tblCellMar>
        </w:tblPrEx>
        <w:trPr>
          <w:trHeight w:val="80" w:hRule="atLeast"/>
        </w:trPr>
        <w:tc>
          <w:tcPr>
            <w:tcW w:w="995" w:type="dxa"/>
            <w:tcBorders>
              <w:left w:val="single" w:color="auto" w:sz="4" w:space="0"/>
              <w:bottom w:val="single" w:color="auto" w:sz="4" w:space="0"/>
              <w:right w:val="single" w:color="auto" w:sz="4" w:space="0"/>
            </w:tcBorders>
            <w:noWrap w:val="0"/>
            <w:vAlign w:val="top"/>
          </w:tcPr>
          <w:p w14:paraId="1798A01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1B730D3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7CDF7A1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早产儿体格生长测评</w:t>
            </w:r>
          </w:p>
        </w:tc>
        <w:tc>
          <w:tcPr>
            <w:tcW w:w="1213" w:type="dxa"/>
            <w:tcBorders>
              <w:top w:val="nil"/>
              <w:left w:val="nil"/>
              <w:bottom w:val="single" w:color="auto" w:sz="4" w:space="0"/>
              <w:right w:val="single" w:color="auto" w:sz="4" w:space="0"/>
            </w:tcBorders>
            <w:noWrap w:val="0"/>
            <w:vAlign w:val="center"/>
          </w:tcPr>
          <w:p w14:paraId="3870BE4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5B8EE8BE">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564FF98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2</w:t>
            </w:r>
          </w:p>
        </w:tc>
        <w:tc>
          <w:tcPr>
            <w:tcW w:w="2813" w:type="dxa"/>
            <w:vMerge w:val="restart"/>
            <w:tcBorders>
              <w:top w:val="nil"/>
              <w:left w:val="single" w:color="auto" w:sz="4" w:space="0"/>
              <w:right w:val="single" w:color="auto" w:sz="4" w:space="0"/>
            </w:tcBorders>
            <w:noWrap w:val="0"/>
            <w:vAlign w:val="center"/>
          </w:tcPr>
          <w:p w14:paraId="029067E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新生儿测评</w:t>
            </w:r>
          </w:p>
          <w:p w14:paraId="1E9178E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13ED9049">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5E02A325">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APGAR 新生儿评分</w:t>
            </w:r>
          </w:p>
        </w:tc>
        <w:tc>
          <w:tcPr>
            <w:tcW w:w="1213" w:type="dxa"/>
            <w:tcBorders>
              <w:top w:val="nil"/>
              <w:left w:val="nil"/>
              <w:bottom w:val="single" w:color="auto" w:sz="4" w:space="0"/>
              <w:right w:val="single" w:color="auto" w:sz="4" w:space="0"/>
            </w:tcBorders>
            <w:noWrap w:val="0"/>
            <w:vAlign w:val="center"/>
          </w:tcPr>
          <w:p w14:paraId="322C659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200A4D24">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3496B855">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59371BBC">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7C163D61">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新生儿胎龄评估</w:t>
            </w:r>
          </w:p>
        </w:tc>
        <w:tc>
          <w:tcPr>
            <w:tcW w:w="1213" w:type="dxa"/>
            <w:tcBorders>
              <w:top w:val="nil"/>
              <w:left w:val="nil"/>
              <w:bottom w:val="single" w:color="auto" w:sz="4" w:space="0"/>
              <w:right w:val="single" w:color="auto" w:sz="4" w:space="0"/>
            </w:tcBorders>
            <w:noWrap w:val="0"/>
            <w:vAlign w:val="center"/>
          </w:tcPr>
          <w:p w14:paraId="0F81896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7C615973">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1812DF5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24D484C2">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27DD4E0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新生儿20项行为神经评分法（NBNA）</w:t>
            </w:r>
          </w:p>
        </w:tc>
        <w:tc>
          <w:tcPr>
            <w:tcW w:w="1213" w:type="dxa"/>
            <w:tcBorders>
              <w:top w:val="nil"/>
              <w:left w:val="nil"/>
              <w:bottom w:val="single" w:color="auto" w:sz="4" w:space="0"/>
              <w:right w:val="single" w:color="auto" w:sz="4" w:space="0"/>
            </w:tcBorders>
            <w:noWrap w:val="0"/>
            <w:vAlign w:val="center"/>
          </w:tcPr>
          <w:p w14:paraId="43533DD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4D55F301">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44FF109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3</w:t>
            </w:r>
          </w:p>
        </w:tc>
        <w:tc>
          <w:tcPr>
            <w:tcW w:w="2813" w:type="dxa"/>
            <w:vMerge w:val="restart"/>
            <w:tcBorders>
              <w:top w:val="nil"/>
              <w:left w:val="single" w:color="auto" w:sz="4" w:space="0"/>
              <w:right w:val="single" w:color="auto" w:sz="4" w:space="0"/>
            </w:tcBorders>
            <w:noWrap w:val="0"/>
            <w:vAlign w:val="center"/>
          </w:tcPr>
          <w:p w14:paraId="7519FA23">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儿童营养喂养测评</w:t>
            </w:r>
          </w:p>
          <w:p w14:paraId="769E4A80">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572E9FE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12ABB683">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72B7463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早产儿营养风险程度评估</w:t>
            </w:r>
          </w:p>
        </w:tc>
        <w:tc>
          <w:tcPr>
            <w:tcW w:w="1213" w:type="dxa"/>
            <w:tcBorders>
              <w:top w:val="nil"/>
              <w:left w:val="nil"/>
              <w:bottom w:val="single" w:color="auto" w:sz="4" w:space="0"/>
              <w:right w:val="single" w:color="auto" w:sz="4" w:space="0"/>
            </w:tcBorders>
            <w:noWrap w:val="0"/>
            <w:vAlign w:val="center"/>
          </w:tcPr>
          <w:p w14:paraId="6447AA2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43798976">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12DEE2E5">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31F23323">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59D9E06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婴儿过敏风险评估表</w:t>
            </w:r>
          </w:p>
        </w:tc>
        <w:tc>
          <w:tcPr>
            <w:tcW w:w="1213" w:type="dxa"/>
            <w:tcBorders>
              <w:top w:val="nil"/>
              <w:left w:val="nil"/>
              <w:bottom w:val="single" w:color="auto" w:sz="4" w:space="0"/>
              <w:right w:val="single" w:color="auto" w:sz="4" w:space="0"/>
            </w:tcBorders>
            <w:noWrap w:val="0"/>
            <w:vAlign w:val="center"/>
          </w:tcPr>
          <w:p w14:paraId="2508B1D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1E860C1F">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325ABC6D">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72F2C8F4">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64A9392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STRONGKids营养状况和生长风险筛查量表</w:t>
            </w:r>
          </w:p>
        </w:tc>
        <w:tc>
          <w:tcPr>
            <w:tcW w:w="1213" w:type="dxa"/>
            <w:tcBorders>
              <w:top w:val="nil"/>
              <w:left w:val="nil"/>
              <w:bottom w:val="single" w:color="auto" w:sz="4" w:space="0"/>
              <w:right w:val="single" w:color="auto" w:sz="4" w:space="0"/>
            </w:tcBorders>
            <w:noWrap w:val="0"/>
            <w:vAlign w:val="center"/>
          </w:tcPr>
          <w:p w14:paraId="5063766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1106E952">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5046677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5F3A642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3B590B1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STAMP儿科营养不良评估筛查</w:t>
            </w:r>
          </w:p>
        </w:tc>
        <w:tc>
          <w:tcPr>
            <w:tcW w:w="1213" w:type="dxa"/>
            <w:tcBorders>
              <w:top w:val="nil"/>
              <w:left w:val="nil"/>
              <w:bottom w:val="single" w:color="auto" w:sz="4" w:space="0"/>
              <w:right w:val="single" w:color="auto" w:sz="4" w:space="0"/>
            </w:tcBorders>
            <w:noWrap w:val="0"/>
            <w:vAlign w:val="center"/>
          </w:tcPr>
          <w:p w14:paraId="62A0606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909346C">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1B4D30D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4</w:t>
            </w:r>
          </w:p>
        </w:tc>
        <w:tc>
          <w:tcPr>
            <w:tcW w:w="2813" w:type="dxa"/>
            <w:vMerge w:val="restart"/>
            <w:tcBorders>
              <w:top w:val="nil"/>
              <w:left w:val="single" w:color="auto" w:sz="4" w:space="0"/>
              <w:right w:val="single" w:color="auto" w:sz="4" w:space="0"/>
            </w:tcBorders>
            <w:noWrap w:val="0"/>
            <w:vAlign w:val="center"/>
          </w:tcPr>
          <w:p w14:paraId="07FFA35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儿童运动测评</w:t>
            </w:r>
          </w:p>
          <w:p w14:paraId="119499CE">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3C202B7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0~1岁神经运动检查20项（INMA)</w:t>
            </w:r>
          </w:p>
        </w:tc>
        <w:tc>
          <w:tcPr>
            <w:tcW w:w="1213" w:type="dxa"/>
            <w:tcBorders>
              <w:top w:val="nil"/>
              <w:left w:val="nil"/>
              <w:bottom w:val="single" w:color="auto" w:sz="4" w:space="0"/>
              <w:right w:val="single" w:color="auto" w:sz="4" w:space="0"/>
            </w:tcBorders>
            <w:noWrap w:val="0"/>
            <w:vAlign w:val="center"/>
          </w:tcPr>
          <w:p w14:paraId="43AA9A1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49B3A09">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47AB35F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2195936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149E93D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ALBERTA婴儿运动量表</w:t>
            </w:r>
          </w:p>
        </w:tc>
        <w:tc>
          <w:tcPr>
            <w:tcW w:w="1213" w:type="dxa"/>
            <w:tcBorders>
              <w:top w:val="nil"/>
              <w:left w:val="nil"/>
              <w:bottom w:val="single" w:color="auto" w:sz="4" w:space="0"/>
              <w:right w:val="single" w:color="auto" w:sz="4" w:space="0"/>
            </w:tcBorders>
            <w:noWrap w:val="0"/>
            <w:vAlign w:val="center"/>
          </w:tcPr>
          <w:p w14:paraId="68C9E34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79F2FE83">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5958682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5</w:t>
            </w:r>
          </w:p>
        </w:tc>
        <w:tc>
          <w:tcPr>
            <w:tcW w:w="2813" w:type="dxa"/>
            <w:vMerge w:val="restart"/>
            <w:tcBorders>
              <w:top w:val="nil"/>
              <w:left w:val="single" w:color="auto" w:sz="4" w:space="0"/>
              <w:right w:val="single" w:color="auto" w:sz="4" w:space="0"/>
            </w:tcBorders>
            <w:noWrap w:val="0"/>
            <w:vAlign w:val="center"/>
          </w:tcPr>
          <w:p w14:paraId="6E18D8B3">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儿童发育筛查测评</w:t>
            </w:r>
          </w:p>
          <w:p w14:paraId="7E3947D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60DD0640">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03E5FB52">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0~3岁儿童心理行为发育问题预警征象</w:t>
            </w:r>
          </w:p>
        </w:tc>
        <w:tc>
          <w:tcPr>
            <w:tcW w:w="1213" w:type="dxa"/>
            <w:tcBorders>
              <w:top w:val="nil"/>
              <w:left w:val="nil"/>
              <w:bottom w:val="single" w:color="auto" w:sz="4" w:space="0"/>
              <w:right w:val="single" w:color="auto" w:sz="4" w:space="0"/>
            </w:tcBorders>
            <w:noWrap w:val="0"/>
            <w:vAlign w:val="center"/>
          </w:tcPr>
          <w:p w14:paraId="1D8A78D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703A351">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6578A4F3">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1902F1FD">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08D3B2A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DDST丹佛发育筛查</w:t>
            </w:r>
          </w:p>
        </w:tc>
        <w:tc>
          <w:tcPr>
            <w:tcW w:w="1213" w:type="dxa"/>
            <w:tcBorders>
              <w:top w:val="nil"/>
              <w:left w:val="nil"/>
              <w:bottom w:val="single" w:color="auto" w:sz="4" w:space="0"/>
              <w:right w:val="single" w:color="auto" w:sz="4" w:space="0"/>
            </w:tcBorders>
            <w:noWrap w:val="0"/>
            <w:vAlign w:val="center"/>
          </w:tcPr>
          <w:p w14:paraId="2065A5A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8F4D2F5">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2DFC576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4357819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773C903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联合型瑞文测验</w:t>
            </w:r>
          </w:p>
        </w:tc>
        <w:tc>
          <w:tcPr>
            <w:tcW w:w="1213" w:type="dxa"/>
            <w:tcBorders>
              <w:top w:val="nil"/>
              <w:left w:val="nil"/>
              <w:bottom w:val="single" w:color="auto" w:sz="4" w:space="0"/>
              <w:right w:val="single" w:color="auto" w:sz="4" w:space="0"/>
            </w:tcBorders>
            <w:noWrap w:val="0"/>
            <w:vAlign w:val="center"/>
          </w:tcPr>
          <w:p w14:paraId="2669D2B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611596B0">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13E384C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6</w:t>
            </w:r>
          </w:p>
        </w:tc>
        <w:tc>
          <w:tcPr>
            <w:tcW w:w="2813" w:type="dxa"/>
            <w:vMerge w:val="restart"/>
            <w:tcBorders>
              <w:top w:val="nil"/>
              <w:left w:val="single" w:color="auto" w:sz="4" w:space="0"/>
              <w:right w:val="single" w:color="auto" w:sz="4" w:space="0"/>
            </w:tcBorders>
            <w:noWrap w:val="0"/>
            <w:vAlign w:val="center"/>
          </w:tcPr>
          <w:p w14:paraId="68785CE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儿童行为测评</w:t>
            </w:r>
          </w:p>
          <w:p w14:paraId="25593043">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0FD800CD">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4DB3F80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conners父母症状问卷（conners）</w:t>
            </w:r>
          </w:p>
        </w:tc>
        <w:tc>
          <w:tcPr>
            <w:tcW w:w="1213" w:type="dxa"/>
            <w:tcBorders>
              <w:top w:val="nil"/>
              <w:left w:val="nil"/>
              <w:bottom w:val="single" w:color="auto" w:sz="4" w:space="0"/>
              <w:right w:val="single" w:color="auto" w:sz="4" w:space="0"/>
            </w:tcBorders>
            <w:noWrap w:val="0"/>
            <w:vAlign w:val="center"/>
          </w:tcPr>
          <w:p w14:paraId="3ADA68E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DD9A522">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3318756F">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76F17779">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5B2F5D0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conners教师症状问卷（conners）</w:t>
            </w:r>
          </w:p>
        </w:tc>
        <w:tc>
          <w:tcPr>
            <w:tcW w:w="1213" w:type="dxa"/>
            <w:tcBorders>
              <w:top w:val="nil"/>
              <w:left w:val="nil"/>
              <w:bottom w:val="single" w:color="auto" w:sz="4" w:space="0"/>
              <w:right w:val="single" w:color="auto" w:sz="4" w:space="0"/>
            </w:tcBorders>
            <w:noWrap w:val="0"/>
            <w:vAlign w:val="center"/>
          </w:tcPr>
          <w:p w14:paraId="445BB5D0">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1583002">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00C97310">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11DA7CA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7ACE1371">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儿科症状核查表</w:t>
            </w:r>
          </w:p>
        </w:tc>
        <w:tc>
          <w:tcPr>
            <w:tcW w:w="1213" w:type="dxa"/>
            <w:tcBorders>
              <w:top w:val="nil"/>
              <w:left w:val="nil"/>
              <w:bottom w:val="single" w:color="auto" w:sz="4" w:space="0"/>
              <w:right w:val="single" w:color="auto" w:sz="4" w:space="0"/>
            </w:tcBorders>
            <w:noWrap w:val="0"/>
            <w:vAlign w:val="center"/>
          </w:tcPr>
          <w:p w14:paraId="1AA7584D">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7BF4B74A">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4292A32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7</w:t>
            </w:r>
          </w:p>
        </w:tc>
        <w:tc>
          <w:tcPr>
            <w:tcW w:w="2813" w:type="dxa"/>
            <w:vMerge w:val="restart"/>
            <w:tcBorders>
              <w:top w:val="nil"/>
              <w:left w:val="single" w:color="auto" w:sz="4" w:space="0"/>
              <w:right w:val="single" w:color="auto" w:sz="4" w:space="0"/>
            </w:tcBorders>
            <w:noWrap w:val="0"/>
            <w:vAlign w:val="center"/>
          </w:tcPr>
          <w:p w14:paraId="48239DA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儿童注意力缺陷测评</w:t>
            </w:r>
          </w:p>
          <w:p w14:paraId="226CF5D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1975A993">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160989F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27927A8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35C1345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24BFDF90">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45B1305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NICHQ范德比尔特儿童行为评定量表（父母版）</w:t>
            </w:r>
          </w:p>
        </w:tc>
        <w:tc>
          <w:tcPr>
            <w:tcW w:w="1213" w:type="dxa"/>
            <w:tcBorders>
              <w:top w:val="nil"/>
              <w:left w:val="nil"/>
              <w:bottom w:val="single" w:color="auto" w:sz="4" w:space="0"/>
              <w:right w:val="single" w:color="auto" w:sz="4" w:space="0"/>
            </w:tcBorders>
            <w:noWrap w:val="0"/>
            <w:vAlign w:val="center"/>
          </w:tcPr>
          <w:p w14:paraId="32EC287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574F686B">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1F221D58">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5BAAE91C">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5C7B973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NICHQ范德比尔特儿童行为随访量表（父母版）</w:t>
            </w:r>
          </w:p>
        </w:tc>
        <w:tc>
          <w:tcPr>
            <w:tcW w:w="1213" w:type="dxa"/>
            <w:tcBorders>
              <w:top w:val="nil"/>
              <w:left w:val="nil"/>
              <w:bottom w:val="single" w:color="auto" w:sz="4" w:space="0"/>
              <w:right w:val="single" w:color="auto" w:sz="4" w:space="0"/>
            </w:tcBorders>
            <w:noWrap w:val="0"/>
            <w:vAlign w:val="center"/>
          </w:tcPr>
          <w:p w14:paraId="54D4EE3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46224B63">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5F4E25BC">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7D0B20AB">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1EA2463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多动症评定量表（SNAP-Ⅳ26项）</w:t>
            </w:r>
          </w:p>
        </w:tc>
        <w:tc>
          <w:tcPr>
            <w:tcW w:w="1213" w:type="dxa"/>
            <w:tcBorders>
              <w:top w:val="nil"/>
              <w:left w:val="nil"/>
              <w:bottom w:val="single" w:color="auto" w:sz="4" w:space="0"/>
              <w:right w:val="single" w:color="auto" w:sz="4" w:space="0"/>
            </w:tcBorders>
            <w:noWrap w:val="0"/>
            <w:vAlign w:val="center"/>
          </w:tcPr>
          <w:p w14:paraId="6B45196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5B27CCEE">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1D156630">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06ADC78D">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05BF629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多动症评定量表（SNAP-Ⅳ18项）</w:t>
            </w:r>
          </w:p>
        </w:tc>
        <w:tc>
          <w:tcPr>
            <w:tcW w:w="1213" w:type="dxa"/>
            <w:tcBorders>
              <w:top w:val="nil"/>
              <w:left w:val="nil"/>
              <w:bottom w:val="single" w:color="auto" w:sz="4" w:space="0"/>
              <w:right w:val="single" w:color="auto" w:sz="4" w:space="0"/>
            </w:tcBorders>
            <w:noWrap w:val="0"/>
            <w:vAlign w:val="center"/>
          </w:tcPr>
          <w:p w14:paraId="5D828161">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4CA266E1">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00E04E60">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02B6C30F">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29B7C41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ADHD诊断量表父母版</w:t>
            </w:r>
          </w:p>
        </w:tc>
        <w:tc>
          <w:tcPr>
            <w:tcW w:w="1213" w:type="dxa"/>
            <w:tcBorders>
              <w:top w:val="nil"/>
              <w:left w:val="nil"/>
              <w:bottom w:val="single" w:color="auto" w:sz="4" w:space="0"/>
              <w:right w:val="single" w:color="auto" w:sz="4" w:space="0"/>
            </w:tcBorders>
            <w:noWrap w:val="0"/>
            <w:vAlign w:val="center"/>
          </w:tcPr>
          <w:p w14:paraId="5B37E505">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3D1989FE">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07289D81">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403E2970">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19259E31">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QCD量表</w:t>
            </w:r>
          </w:p>
        </w:tc>
        <w:tc>
          <w:tcPr>
            <w:tcW w:w="1213" w:type="dxa"/>
            <w:tcBorders>
              <w:top w:val="nil"/>
              <w:left w:val="nil"/>
              <w:bottom w:val="single" w:color="auto" w:sz="4" w:space="0"/>
              <w:right w:val="single" w:color="auto" w:sz="4" w:space="0"/>
            </w:tcBorders>
            <w:noWrap w:val="0"/>
            <w:vAlign w:val="center"/>
          </w:tcPr>
          <w:p w14:paraId="307BF70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753A0859">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60BAE45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4BA6A35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7043B28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Weiss功能缺陷量表（父母版）</w:t>
            </w:r>
          </w:p>
        </w:tc>
        <w:tc>
          <w:tcPr>
            <w:tcW w:w="1213" w:type="dxa"/>
            <w:tcBorders>
              <w:top w:val="nil"/>
              <w:left w:val="nil"/>
              <w:bottom w:val="single" w:color="auto" w:sz="4" w:space="0"/>
              <w:right w:val="single" w:color="auto" w:sz="4" w:space="0"/>
            </w:tcBorders>
            <w:noWrap w:val="0"/>
            <w:vAlign w:val="center"/>
          </w:tcPr>
          <w:p w14:paraId="0893AF10">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10C8FD1">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3A01F53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8</w:t>
            </w:r>
          </w:p>
        </w:tc>
        <w:tc>
          <w:tcPr>
            <w:tcW w:w="2813" w:type="dxa"/>
            <w:vMerge w:val="restart"/>
            <w:tcBorders>
              <w:top w:val="nil"/>
              <w:left w:val="single" w:color="auto" w:sz="4" w:space="0"/>
              <w:right w:val="single" w:color="auto" w:sz="4" w:space="0"/>
            </w:tcBorders>
            <w:noWrap w:val="0"/>
            <w:vAlign w:val="center"/>
          </w:tcPr>
          <w:p w14:paraId="16CBA5C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儿童自闭症测评</w:t>
            </w:r>
          </w:p>
          <w:p w14:paraId="511AE53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3020A46C">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7A32D69F">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3D2B05D1">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孤独症行为评定量表（ABC量表）</w:t>
            </w:r>
          </w:p>
        </w:tc>
        <w:tc>
          <w:tcPr>
            <w:tcW w:w="1213" w:type="dxa"/>
            <w:tcBorders>
              <w:top w:val="nil"/>
              <w:left w:val="nil"/>
              <w:bottom w:val="single" w:color="auto" w:sz="4" w:space="0"/>
              <w:right w:val="single" w:color="auto" w:sz="4" w:space="0"/>
            </w:tcBorders>
            <w:noWrap w:val="0"/>
            <w:vAlign w:val="center"/>
          </w:tcPr>
          <w:p w14:paraId="402AAFD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11D5BF51">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184E2C18">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67BA20A6">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5B1B21A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CHAT幼儿孤独症筛查量表</w:t>
            </w:r>
          </w:p>
        </w:tc>
        <w:tc>
          <w:tcPr>
            <w:tcW w:w="1213" w:type="dxa"/>
            <w:tcBorders>
              <w:top w:val="nil"/>
              <w:left w:val="nil"/>
              <w:bottom w:val="single" w:color="auto" w:sz="4" w:space="0"/>
              <w:right w:val="single" w:color="auto" w:sz="4" w:space="0"/>
            </w:tcBorders>
            <w:noWrap w:val="0"/>
            <w:vAlign w:val="center"/>
          </w:tcPr>
          <w:p w14:paraId="01890BA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423527C2">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6DC196E5">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7F8F40F7">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5AB661C3">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儿童期孤独症评定量表(CARS)</w:t>
            </w:r>
          </w:p>
        </w:tc>
        <w:tc>
          <w:tcPr>
            <w:tcW w:w="1213" w:type="dxa"/>
            <w:tcBorders>
              <w:top w:val="nil"/>
              <w:left w:val="nil"/>
              <w:bottom w:val="single" w:color="auto" w:sz="4" w:space="0"/>
              <w:right w:val="single" w:color="auto" w:sz="4" w:space="0"/>
            </w:tcBorders>
            <w:noWrap w:val="0"/>
            <w:vAlign w:val="center"/>
          </w:tcPr>
          <w:p w14:paraId="3B51982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66A0155B">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7951B1D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46DA431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4C14992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CABS克氏自闭症行为量表</w:t>
            </w:r>
          </w:p>
        </w:tc>
        <w:tc>
          <w:tcPr>
            <w:tcW w:w="1213" w:type="dxa"/>
            <w:tcBorders>
              <w:top w:val="nil"/>
              <w:left w:val="nil"/>
              <w:bottom w:val="single" w:color="auto" w:sz="4" w:space="0"/>
              <w:right w:val="single" w:color="auto" w:sz="4" w:space="0"/>
            </w:tcBorders>
            <w:noWrap w:val="0"/>
            <w:vAlign w:val="center"/>
          </w:tcPr>
          <w:p w14:paraId="1EF09AC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0ABCABB5">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32B6BF22">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9</w:t>
            </w:r>
          </w:p>
        </w:tc>
        <w:tc>
          <w:tcPr>
            <w:tcW w:w="2813" w:type="dxa"/>
            <w:vMerge w:val="restart"/>
            <w:tcBorders>
              <w:top w:val="nil"/>
              <w:left w:val="single" w:color="auto" w:sz="4" w:space="0"/>
              <w:right w:val="single" w:color="auto" w:sz="4" w:space="0"/>
            </w:tcBorders>
            <w:noWrap w:val="0"/>
            <w:vAlign w:val="center"/>
          </w:tcPr>
          <w:p w14:paraId="2B6EA61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儿童抽动症测评</w:t>
            </w:r>
          </w:p>
          <w:p w14:paraId="7AD71FA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w:t>
            </w:r>
          </w:p>
          <w:p w14:paraId="7E34F03F">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312060C5">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耶鲁综合抽动严重程度量表（观察表）</w:t>
            </w:r>
          </w:p>
        </w:tc>
        <w:tc>
          <w:tcPr>
            <w:tcW w:w="1213" w:type="dxa"/>
            <w:tcBorders>
              <w:top w:val="nil"/>
              <w:left w:val="nil"/>
              <w:bottom w:val="single" w:color="auto" w:sz="4" w:space="0"/>
              <w:right w:val="single" w:color="auto" w:sz="4" w:space="0"/>
            </w:tcBorders>
            <w:noWrap w:val="0"/>
            <w:vAlign w:val="center"/>
          </w:tcPr>
          <w:p w14:paraId="79DAD2C0">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7E39368E">
        <w:tblPrEx>
          <w:tblCellMar>
            <w:top w:w="0" w:type="dxa"/>
            <w:left w:w="108" w:type="dxa"/>
            <w:bottom w:w="0" w:type="dxa"/>
            <w:right w:w="108" w:type="dxa"/>
          </w:tblCellMar>
        </w:tblPrEx>
        <w:trPr>
          <w:trHeight w:val="270" w:hRule="atLeast"/>
        </w:trPr>
        <w:tc>
          <w:tcPr>
            <w:tcW w:w="995" w:type="dxa"/>
            <w:tcBorders>
              <w:left w:val="single" w:color="auto" w:sz="4" w:space="0"/>
              <w:right w:val="single" w:color="auto" w:sz="4" w:space="0"/>
            </w:tcBorders>
            <w:noWrap w:val="0"/>
            <w:vAlign w:val="top"/>
          </w:tcPr>
          <w:p w14:paraId="005C9BE0">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right w:val="single" w:color="auto" w:sz="4" w:space="0"/>
            </w:tcBorders>
            <w:noWrap w:val="0"/>
            <w:vAlign w:val="center"/>
          </w:tcPr>
          <w:p w14:paraId="1DE9620C">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479CD91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耶鲁综合抽动严重程度量表（YGTSS）（顺序表）</w:t>
            </w:r>
          </w:p>
        </w:tc>
        <w:tc>
          <w:tcPr>
            <w:tcW w:w="1213" w:type="dxa"/>
            <w:tcBorders>
              <w:top w:val="nil"/>
              <w:left w:val="nil"/>
              <w:bottom w:val="single" w:color="auto" w:sz="4" w:space="0"/>
              <w:right w:val="single" w:color="auto" w:sz="4" w:space="0"/>
            </w:tcBorders>
            <w:noWrap w:val="0"/>
            <w:vAlign w:val="center"/>
          </w:tcPr>
          <w:p w14:paraId="68EEB256">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6B01D322">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1484B3A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0FF395AD">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539B418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多发性抽动症综合量表（TSGS）</w:t>
            </w:r>
          </w:p>
        </w:tc>
        <w:tc>
          <w:tcPr>
            <w:tcW w:w="1213" w:type="dxa"/>
            <w:tcBorders>
              <w:top w:val="nil"/>
              <w:left w:val="nil"/>
              <w:bottom w:val="single" w:color="auto" w:sz="4" w:space="0"/>
              <w:right w:val="single" w:color="auto" w:sz="4" w:space="0"/>
            </w:tcBorders>
            <w:noWrap w:val="0"/>
            <w:vAlign w:val="center"/>
          </w:tcPr>
          <w:p w14:paraId="198E1FD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1E7A51FB">
        <w:tblPrEx>
          <w:tblCellMar>
            <w:top w:w="0" w:type="dxa"/>
            <w:left w:w="108" w:type="dxa"/>
            <w:bottom w:w="0" w:type="dxa"/>
            <w:right w:w="108" w:type="dxa"/>
          </w:tblCellMar>
        </w:tblPrEx>
        <w:trPr>
          <w:trHeight w:val="270" w:hRule="atLeast"/>
        </w:trPr>
        <w:tc>
          <w:tcPr>
            <w:tcW w:w="995" w:type="dxa"/>
            <w:tcBorders>
              <w:top w:val="nil"/>
              <w:left w:val="single" w:color="auto" w:sz="4" w:space="0"/>
              <w:bottom w:val="single" w:color="auto" w:sz="4" w:space="0"/>
              <w:right w:val="single" w:color="auto" w:sz="4" w:space="0"/>
            </w:tcBorders>
            <w:noWrap w:val="0"/>
            <w:vAlign w:val="top"/>
          </w:tcPr>
          <w:p w14:paraId="64344CEA">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10</w:t>
            </w:r>
          </w:p>
        </w:tc>
        <w:tc>
          <w:tcPr>
            <w:tcW w:w="2813" w:type="dxa"/>
            <w:tcBorders>
              <w:top w:val="nil"/>
              <w:left w:val="single" w:color="auto" w:sz="4" w:space="0"/>
              <w:bottom w:val="single" w:color="auto" w:sz="4" w:space="0"/>
              <w:right w:val="single" w:color="auto" w:sz="4" w:space="0"/>
            </w:tcBorders>
            <w:noWrap w:val="0"/>
            <w:vAlign w:val="center"/>
          </w:tcPr>
          <w:p w14:paraId="62366D3D">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语言类测评</w:t>
            </w:r>
          </w:p>
        </w:tc>
        <w:tc>
          <w:tcPr>
            <w:tcW w:w="4537" w:type="dxa"/>
            <w:tcBorders>
              <w:top w:val="nil"/>
              <w:left w:val="nil"/>
              <w:bottom w:val="single" w:color="auto" w:sz="4" w:space="0"/>
              <w:right w:val="single" w:color="auto" w:sz="4" w:space="0"/>
            </w:tcBorders>
            <w:noWrap w:val="0"/>
            <w:vAlign w:val="center"/>
          </w:tcPr>
          <w:p w14:paraId="27EC8D7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图片词汇测试PPVT</w:t>
            </w:r>
          </w:p>
        </w:tc>
        <w:tc>
          <w:tcPr>
            <w:tcW w:w="1213" w:type="dxa"/>
            <w:tcBorders>
              <w:top w:val="nil"/>
              <w:left w:val="nil"/>
              <w:bottom w:val="single" w:color="auto" w:sz="4" w:space="0"/>
              <w:right w:val="single" w:color="auto" w:sz="4" w:space="0"/>
            </w:tcBorders>
            <w:noWrap w:val="0"/>
            <w:vAlign w:val="center"/>
          </w:tcPr>
          <w:p w14:paraId="6A4C6199">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7BB0C698">
        <w:tblPrEx>
          <w:tblCellMar>
            <w:top w:w="0" w:type="dxa"/>
            <w:left w:w="108" w:type="dxa"/>
            <w:bottom w:w="0" w:type="dxa"/>
            <w:right w:w="108" w:type="dxa"/>
          </w:tblCellMar>
        </w:tblPrEx>
        <w:trPr>
          <w:trHeight w:val="270" w:hRule="atLeast"/>
        </w:trPr>
        <w:tc>
          <w:tcPr>
            <w:tcW w:w="995" w:type="dxa"/>
            <w:tcBorders>
              <w:top w:val="nil"/>
              <w:left w:val="single" w:color="auto" w:sz="4" w:space="0"/>
              <w:bottom w:val="single" w:color="auto" w:sz="4" w:space="0"/>
              <w:right w:val="single" w:color="auto" w:sz="4" w:space="0"/>
            </w:tcBorders>
            <w:noWrap w:val="0"/>
            <w:vAlign w:val="top"/>
          </w:tcPr>
          <w:p w14:paraId="2CEC758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11</w:t>
            </w:r>
          </w:p>
        </w:tc>
        <w:tc>
          <w:tcPr>
            <w:tcW w:w="2813" w:type="dxa"/>
            <w:tcBorders>
              <w:top w:val="nil"/>
              <w:left w:val="single" w:color="auto" w:sz="4" w:space="0"/>
              <w:bottom w:val="single" w:color="auto" w:sz="4" w:space="0"/>
              <w:right w:val="single" w:color="auto" w:sz="4" w:space="0"/>
            </w:tcBorders>
            <w:noWrap w:val="0"/>
            <w:vAlign w:val="center"/>
          </w:tcPr>
          <w:p w14:paraId="4ACE627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神经类测评</w:t>
            </w:r>
          </w:p>
        </w:tc>
        <w:tc>
          <w:tcPr>
            <w:tcW w:w="4537" w:type="dxa"/>
            <w:tcBorders>
              <w:top w:val="nil"/>
              <w:left w:val="nil"/>
              <w:bottom w:val="single" w:color="auto" w:sz="4" w:space="0"/>
              <w:right w:val="single" w:color="auto" w:sz="4" w:space="0"/>
            </w:tcBorders>
            <w:noWrap w:val="0"/>
            <w:vAlign w:val="center"/>
          </w:tcPr>
          <w:p w14:paraId="49527FB8">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格拉斯哥昏迷评分量表（GCS）（≥4岁）</w:t>
            </w:r>
          </w:p>
        </w:tc>
        <w:tc>
          <w:tcPr>
            <w:tcW w:w="1213" w:type="dxa"/>
            <w:tcBorders>
              <w:top w:val="nil"/>
              <w:left w:val="nil"/>
              <w:bottom w:val="single" w:color="auto" w:sz="4" w:space="0"/>
              <w:right w:val="single" w:color="auto" w:sz="4" w:space="0"/>
            </w:tcBorders>
            <w:noWrap w:val="0"/>
            <w:vAlign w:val="center"/>
          </w:tcPr>
          <w:p w14:paraId="4BA5F08B">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624087CC">
        <w:tblPrEx>
          <w:tblCellMar>
            <w:top w:w="0" w:type="dxa"/>
            <w:left w:w="108" w:type="dxa"/>
            <w:bottom w:w="0" w:type="dxa"/>
            <w:right w:w="108" w:type="dxa"/>
          </w:tblCellMar>
        </w:tblPrEx>
        <w:trPr>
          <w:trHeight w:val="270" w:hRule="atLeast"/>
        </w:trPr>
        <w:tc>
          <w:tcPr>
            <w:tcW w:w="995" w:type="dxa"/>
            <w:tcBorders>
              <w:top w:val="nil"/>
              <w:left w:val="single" w:color="auto" w:sz="4" w:space="0"/>
              <w:right w:val="single" w:color="auto" w:sz="4" w:space="0"/>
            </w:tcBorders>
            <w:noWrap w:val="0"/>
            <w:vAlign w:val="top"/>
          </w:tcPr>
          <w:p w14:paraId="448B7AF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12</w:t>
            </w:r>
          </w:p>
        </w:tc>
        <w:tc>
          <w:tcPr>
            <w:tcW w:w="2813" w:type="dxa"/>
            <w:vMerge w:val="restart"/>
            <w:tcBorders>
              <w:top w:val="nil"/>
              <w:left w:val="single" w:color="auto" w:sz="4" w:space="0"/>
              <w:right w:val="single" w:color="auto" w:sz="4" w:space="0"/>
            </w:tcBorders>
            <w:noWrap w:val="0"/>
            <w:vAlign w:val="center"/>
          </w:tcPr>
          <w:p w14:paraId="10FED56F">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社会及家庭养育类测评</w:t>
            </w:r>
          </w:p>
          <w:p w14:paraId="150006CB">
            <w:pPr>
              <w:pageBreakBefore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Cs/>
                <w:color w:val="auto"/>
                <w:kern w:val="0"/>
                <w:sz w:val="28"/>
                <w:szCs w:val="28"/>
              </w:rPr>
            </w:pPr>
            <w:r>
              <w:rPr>
                <w:rFonts w:hint="eastAsia" w:ascii="宋体" w:hAnsi="宋体" w:eastAsia="宋体" w:cs="宋体"/>
                <w:color w:val="auto"/>
                <w:kern w:val="0"/>
                <w:sz w:val="28"/>
                <w:szCs w:val="28"/>
              </w:rPr>
              <w:t>　</w:t>
            </w:r>
          </w:p>
        </w:tc>
        <w:tc>
          <w:tcPr>
            <w:tcW w:w="4537" w:type="dxa"/>
            <w:tcBorders>
              <w:top w:val="nil"/>
              <w:left w:val="nil"/>
              <w:bottom w:val="single" w:color="auto" w:sz="4" w:space="0"/>
              <w:right w:val="single" w:color="auto" w:sz="4" w:space="0"/>
            </w:tcBorders>
            <w:noWrap w:val="0"/>
            <w:vAlign w:val="center"/>
          </w:tcPr>
          <w:p w14:paraId="7D7F6604">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格拉斯哥儿童昏迷评分量表（GCS）</w:t>
            </w:r>
          </w:p>
        </w:tc>
        <w:tc>
          <w:tcPr>
            <w:tcW w:w="1213" w:type="dxa"/>
            <w:tcBorders>
              <w:top w:val="nil"/>
              <w:left w:val="nil"/>
              <w:bottom w:val="single" w:color="auto" w:sz="4" w:space="0"/>
              <w:right w:val="single" w:color="auto" w:sz="4" w:space="0"/>
            </w:tcBorders>
            <w:noWrap w:val="0"/>
            <w:vAlign w:val="center"/>
          </w:tcPr>
          <w:p w14:paraId="7B2C3895">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r w14:paraId="7042440A">
        <w:tblPrEx>
          <w:tblCellMar>
            <w:top w:w="0" w:type="dxa"/>
            <w:left w:w="108" w:type="dxa"/>
            <w:bottom w:w="0" w:type="dxa"/>
            <w:right w:w="108" w:type="dxa"/>
          </w:tblCellMar>
        </w:tblPrEx>
        <w:trPr>
          <w:trHeight w:val="270" w:hRule="atLeast"/>
        </w:trPr>
        <w:tc>
          <w:tcPr>
            <w:tcW w:w="995" w:type="dxa"/>
            <w:tcBorders>
              <w:left w:val="single" w:color="auto" w:sz="4" w:space="0"/>
              <w:bottom w:val="single" w:color="auto" w:sz="4" w:space="0"/>
              <w:right w:val="single" w:color="auto" w:sz="4" w:space="0"/>
            </w:tcBorders>
            <w:noWrap w:val="0"/>
            <w:vAlign w:val="top"/>
          </w:tcPr>
          <w:p w14:paraId="4CFEE8B2">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2813" w:type="dxa"/>
            <w:vMerge w:val="continue"/>
            <w:tcBorders>
              <w:left w:val="single" w:color="auto" w:sz="4" w:space="0"/>
              <w:bottom w:val="single" w:color="auto" w:sz="4" w:space="0"/>
              <w:right w:val="single" w:color="auto" w:sz="4" w:space="0"/>
            </w:tcBorders>
            <w:noWrap w:val="0"/>
            <w:vAlign w:val="center"/>
          </w:tcPr>
          <w:p w14:paraId="60D4F4AE">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c>
          <w:tcPr>
            <w:tcW w:w="4537" w:type="dxa"/>
            <w:tcBorders>
              <w:top w:val="nil"/>
              <w:left w:val="nil"/>
              <w:bottom w:val="single" w:color="auto" w:sz="4" w:space="0"/>
              <w:right w:val="single" w:color="auto" w:sz="4" w:space="0"/>
            </w:tcBorders>
            <w:noWrap w:val="0"/>
            <w:vAlign w:val="center"/>
          </w:tcPr>
          <w:p w14:paraId="664C2987">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家庭教养方式问卷</w:t>
            </w:r>
          </w:p>
        </w:tc>
        <w:tc>
          <w:tcPr>
            <w:tcW w:w="1213" w:type="dxa"/>
            <w:tcBorders>
              <w:top w:val="nil"/>
              <w:left w:val="nil"/>
              <w:bottom w:val="single" w:color="auto" w:sz="4" w:space="0"/>
              <w:right w:val="single" w:color="auto" w:sz="4" w:space="0"/>
            </w:tcBorders>
            <w:noWrap w:val="0"/>
            <w:vAlign w:val="center"/>
          </w:tcPr>
          <w:p w14:paraId="10418CF5">
            <w:pPr>
              <w:pageBreakBefore w:val="0"/>
              <w:widowControl/>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auto"/>
                <w:kern w:val="0"/>
                <w:sz w:val="28"/>
                <w:szCs w:val="28"/>
              </w:rPr>
            </w:pPr>
          </w:p>
        </w:tc>
      </w:tr>
    </w:tbl>
    <w:p w14:paraId="3E64F11A">
      <w:pPr>
        <w:pStyle w:val="2"/>
        <w:pageBreakBefore w:val="0"/>
        <w:kinsoku/>
        <w:wordWrap/>
        <w:overflowPunct/>
        <w:topLinePunct w:val="0"/>
        <w:autoSpaceDE/>
        <w:autoSpaceDN/>
        <w:bidi w:val="0"/>
        <w:adjustRightInd/>
        <w:snapToGrid/>
        <w:spacing w:before="0" w:after="0" w:line="400" w:lineRule="exact"/>
        <w:ind w:left="0" w:leftChars="0" w:firstLine="0" w:firstLineChars="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附</w:t>
      </w:r>
      <w:r>
        <w:rPr>
          <w:rFonts w:hint="eastAsia" w:ascii="宋体" w:hAnsi="宋体" w:eastAsia="宋体" w:cs="宋体"/>
          <w:b w:val="0"/>
          <w:bCs w:val="0"/>
          <w:color w:val="auto"/>
          <w:sz w:val="28"/>
          <w:szCs w:val="28"/>
          <w:lang w:val="en-US" w:eastAsia="zh-CN"/>
        </w:rPr>
        <w:t>件二</w:t>
      </w:r>
    </w:p>
    <w:p w14:paraId="69E41FEE">
      <w:pPr>
        <w:pStyle w:val="2"/>
        <w:pageBreakBefore w:val="0"/>
        <w:kinsoku/>
        <w:wordWrap/>
        <w:overflowPunct/>
        <w:topLinePunct w:val="0"/>
        <w:autoSpaceDE/>
        <w:autoSpaceDN/>
        <w:bidi w:val="0"/>
        <w:adjustRightInd/>
        <w:snapToGrid/>
        <w:spacing w:before="0" w:after="0" w:line="400" w:lineRule="exact"/>
        <w:ind w:left="0" w:leftChars="0" w:firstLine="0" w:firstLineChars="0"/>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儿童健康测评系统专业版</w:t>
      </w:r>
      <w:r>
        <w:rPr>
          <w:rFonts w:hint="eastAsia" w:ascii="宋体" w:hAnsi="宋体" w:cs="宋体"/>
          <w:color w:val="auto"/>
          <w:sz w:val="28"/>
          <w:szCs w:val="28"/>
          <w:lang w:val="en-US" w:eastAsia="zh-CN"/>
        </w:rPr>
        <w:t>协议</w:t>
      </w:r>
      <w:r>
        <w:rPr>
          <w:rFonts w:hint="eastAsia" w:ascii="宋体" w:hAnsi="宋体" w:eastAsia="宋体" w:cs="宋体"/>
          <w:color w:val="auto"/>
          <w:sz w:val="28"/>
          <w:szCs w:val="28"/>
        </w:rPr>
        <w:t>所含内容列表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613"/>
        <w:gridCol w:w="3750"/>
        <w:gridCol w:w="1892"/>
      </w:tblGrid>
      <w:tr w14:paraId="1E12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09F88464">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2613" w:type="dxa"/>
            <w:noWrap w:val="0"/>
            <w:vAlign w:val="top"/>
          </w:tcPr>
          <w:p w14:paraId="26503B5E">
            <w:pPr>
              <w:pageBreakBefore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类   别</w:t>
            </w:r>
          </w:p>
        </w:tc>
        <w:tc>
          <w:tcPr>
            <w:tcW w:w="3750" w:type="dxa"/>
            <w:noWrap w:val="0"/>
            <w:vAlign w:val="top"/>
          </w:tcPr>
          <w:p w14:paraId="3950E9A7">
            <w:pPr>
              <w:pageBreakBefore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项      目</w:t>
            </w:r>
          </w:p>
        </w:tc>
        <w:tc>
          <w:tcPr>
            <w:tcW w:w="1892" w:type="dxa"/>
            <w:noWrap w:val="0"/>
            <w:vAlign w:val="top"/>
          </w:tcPr>
          <w:p w14:paraId="68221349">
            <w:pPr>
              <w:pageBreakBefore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备注</w:t>
            </w:r>
          </w:p>
        </w:tc>
      </w:tr>
      <w:tr w14:paraId="4231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2DD3AFBC">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2613" w:type="dxa"/>
            <w:noWrap w:val="0"/>
            <w:vAlign w:val="top"/>
          </w:tcPr>
          <w:p w14:paraId="5D91A7A0">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儿童体格生长测评</w:t>
            </w:r>
          </w:p>
        </w:tc>
        <w:tc>
          <w:tcPr>
            <w:tcW w:w="3750" w:type="dxa"/>
            <w:noWrap w:val="0"/>
            <w:vAlign w:val="top"/>
          </w:tcPr>
          <w:p w14:paraId="795B1FD1">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TW-C骨龄评定</w:t>
            </w:r>
          </w:p>
        </w:tc>
        <w:tc>
          <w:tcPr>
            <w:tcW w:w="1892" w:type="dxa"/>
            <w:noWrap w:val="0"/>
            <w:vAlign w:val="top"/>
          </w:tcPr>
          <w:p w14:paraId="7B17015C">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自评</w:t>
            </w:r>
          </w:p>
        </w:tc>
      </w:tr>
      <w:tr w14:paraId="166C2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2277B50C">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2613" w:type="dxa"/>
            <w:noWrap w:val="0"/>
            <w:vAlign w:val="top"/>
          </w:tcPr>
          <w:p w14:paraId="781996BE">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儿童运动测评</w:t>
            </w:r>
          </w:p>
        </w:tc>
        <w:tc>
          <w:tcPr>
            <w:tcW w:w="3750" w:type="dxa"/>
            <w:noWrap w:val="0"/>
            <w:vAlign w:val="top"/>
          </w:tcPr>
          <w:p w14:paraId="473357F2">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Peabody运动发育量表</w:t>
            </w:r>
          </w:p>
        </w:tc>
        <w:tc>
          <w:tcPr>
            <w:tcW w:w="1892" w:type="dxa"/>
            <w:noWrap w:val="0"/>
            <w:vAlign w:val="top"/>
          </w:tcPr>
          <w:p w14:paraId="34FC1DAD">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p>
        </w:tc>
      </w:tr>
      <w:tr w14:paraId="7EAB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noWrap w:val="0"/>
            <w:vAlign w:val="top"/>
          </w:tcPr>
          <w:p w14:paraId="3A42085A">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2613" w:type="dxa"/>
            <w:noWrap w:val="0"/>
            <w:vAlign w:val="top"/>
          </w:tcPr>
          <w:p w14:paraId="0B560867">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发育诊断类测评</w:t>
            </w:r>
          </w:p>
        </w:tc>
        <w:tc>
          <w:tcPr>
            <w:tcW w:w="3750" w:type="dxa"/>
            <w:noWrap w:val="0"/>
            <w:vAlign w:val="top"/>
          </w:tcPr>
          <w:p w14:paraId="503DBB02">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Gesell发育诊断量表</w:t>
            </w:r>
          </w:p>
        </w:tc>
        <w:tc>
          <w:tcPr>
            <w:tcW w:w="1892" w:type="dxa"/>
            <w:noWrap w:val="0"/>
            <w:vAlign w:val="top"/>
          </w:tcPr>
          <w:p w14:paraId="38697190">
            <w:pPr>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不含工具箱</w:t>
            </w:r>
          </w:p>
        </w:tc>
      </w:tr>
    </w:tbl>
    <w:p w14:paraId="2E5D017A">
      <w:pPr>
        <w:pageBreakBefore w:val="0"/>
        <w:kinsoku/>
        <w:wordWrap/>
        <w:overflowPunct/>
        <w:topLinePunct w:val="0"/>
        <w:autoSpaceDE/>
        <w:autoSpaceDN/>
        <w:bidi w:val="0"/>
        <w:adjustRightInd/>
        <w:snapToGrid/>
        <w:spacing w:line="500" w:lineRule="exact"/>
        <w:ind w:left="0" w:leftChars="0" w:firstLine="640" w:firstLineChars="200"/>
        <w:textAlignment w:val="auto"/>
        <w:rPr>
          <w:color w:val="auto"/>
          <w:sz w:val="32"/>
          <w:szCs w:val="32"/>
        </w:rPr>
      </w:pPr>
    </w:p>
    <w:p w14:paraId="3C1B445C">
      <w:pPr>
        <w:spacing w:line="420" w:lineRule="exact"/>
        <w:outlineLvl w:val="0"/>
        <w:rPr>
          <w:rFonts w:ascii="仿宋" w:hAnsi="仿宋" w:eastAsia="仿宋" w:cs="仿宋"/>
          <w:sz w:val="28"/>
          <w:szCs w:val="28"/>
        </w:rPr>
      </w:pPr>
    </w:p>
    <w:p w14:paraId="5FBFEDEE">
      <w:pPr>
        <w:spacing w:line="420" w:lineRule="exact"/>
        <w:rPr>
          <w:rFonts w:hint="eastAsia" w:ascii="仿宋" w:hAnsi="仿宋" w:eastAsia="仿宋" w:cs="仿宋"/>
          <w:sz w:val="24"/>
        </w:rPr>
      </w:pPr>
    </w:p>
    <w:p w14:paraId="510E6F51">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153B405F">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31CA7279">
      <w:pPr>
        <w:rPr>
          <w:rFonts w:hint="eastAsia" w:ascii="宋体" w:hAnsi="宋体" w:cs="宋体"/>
          <w:color w:val="auto"/>
        </w:rPr>
      </w:pPr>
    </w:p>
    <w:bookmarkEnd w:id="1"/>
    <w:p w14:paraId="77E9FAF1">
      <w:pPr>
        <w:rPr>
          <w:rFonts w:hint="eastAsia"/>
          <w:color w:val="auto"/>
        </w:rPr>
      </w:pPr>
    </w:p>
    <w:p w14:paraId="5D862081">
      <w:pPr>
        <w:jc w:val="center"/>
        <w:rPr>
          <w:b/>
          <w:color w:val="auto"/>
          <w:sz w:val="24"/>
        </w:rPr>
      </w:pPr>
      <w:r>
        <w:rPr>
          <w:b/>
          <w:color w:val="auto"/>
          <w:sz w:val="28"/>
          <w:szCs w:val="28"/>
        </w:rPr>
        <w:t>第一部分、开标一览表</w:t>
      </w:r>
    </w:p>
    <w:p w14:paraId="66597F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0B4F153C">
      <w:pPr>
        <w:pStyle w:val="16"/>
        <w:rPr>
          <w:color w:val="auto"/>
        </w:rPr>
      </w:pPr>
    </w:p>
    <w:p w14:paraId="5970F5F0">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703D21FA">
      <w:pPr>
        <w:pStyle w:val="15"/>
        <w:rPr>
          <w:rFonts w:hint="eastAsia"/>
          <w:color w:val="auto"/>
          <w:lang w:eastAsia="zh-CN"/>
        </w:rPr>
      </w:pPr>
    </w:p>
    <w:p w14:paraId="14936463">
      <w:pPr>
        <w:adjustRightInd w:val="0"/>
        <w:snapToGrid w:val="0"/>
        <w:spacing w:line="360" w:lineRule="auto"/>
        <w:jc w:val="center"/>
        <w:rPr>
          <w:rFonts w:hint="eastAsia" w:ascii="宋体" w:hAnsi="宋体" w:cs="宋体"/>
          <w:b/>
          <w:color w:val="auto"/>
          <w:sz w:val="24"/>
          <w:szCs w:val="20"/>
        </w:rPr>
      </w:pPr>
    </w:p>
    <w:p w14:paraId="41CC3D6E">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315A190">
      <w:pPr>
        <w:adjustRightInd w:val="0"/>
        <w:snapToGrid w:val="0"/>
        <w:spacing w:line="360" w:lineRule="auto"/>
        <w:rPr>
          <w:rFonts w:hint="eastAsia" w:ascii="宋体" w:hAnsi="宋体" w:cs="宋体"/>
          <w:b/>
          <w:color w:val="auto"/>
          <w:sz w:val="28"/>
          <w:szCs w:val="28"/>
        </w:rPr>
      </w:pPr>
    </w:p>
    <w:p w14:paraId="2509A6A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70C4857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F9DE7B6">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34F6FC2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A40FBE2">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1A98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D02CD03">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444DCD1">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A3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F8CEA9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48A56D4C">
      <w:pPr>
        <w:adjustRightInd w:val="0"/>
        <w:snapToGrid w:val="0"/>
        <w:spacing w:line="360" w:lineRule="auto"/>
        <w:rPr>
          <w:rFonts w:hint="eastAsia" w:ascii="宋体" w:hAnsi="宋体" w:cs="宋体"/>
          <w:color w:val="auto"/>
          <w:sz w:val="24"/>
        </w:rPr>
      </w:pPr>
    </w:p>
    <w:p w14:paraId="25054578">
      <w:pPr>
        <w:adjustRightInd w:val="0"/>
        <w:snapToGrid w:val="0"/>
        <w:spacing w:line="360" w:lineRule="auto"/>
        <w:rPr>
          <w:rFonts w:hint="eastAsia" w:ascii="宋体" w:hAnsi="宋体" w:cs="宋体"/>
          <w:color w:val="auto"/>
          <w:sz w:val="24"/>
        </w:rPr>
      </w:pPr>
    </w:p>
    <w:p w14:paraId="5465B538">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E513EB">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705D0180">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681AA5E">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7508298">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337B8EB">
      <w:pPr>
        <w:pStyle w:val="15"/>
        <w:rPr>
          <w:rFonts w:hint="eastAsia"/>
          <w:color w:val="auto"/>
          <w:lang w:eastAsia="zh-CN"/>
        </w:rPr>
      </w:pPr>
    </w:p>
    <w:p w14:paraId="63026712">
      <w:pPr>
        <w:spacing w:before="120" w:beforeLines="50" w:after="120" w:afterLines="50" w:line="276" w:lineRule="auto"/>
        <w:jc w:val="center"/>
        <w:rPr>
          <w:b/>
          <w:color w:val="auto"/>
          <w:sz w:val="24"/>
        </w:rPr>
      </w:pPr>
      <w:r>
        <w:rPr>
          <w:b/>
          <w:color w:val="auto"/>
          <w:sz w:val="24"/>
        </w:rPr>
        <w:t>采购需求响应</w:t>
      </w:r>
    </w:p>
    <w:p w14:paraId="491D1811">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B9620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7C5CF4DB">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2FF3354">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93E0F56">
            <w:pPr>
              <w:adjustRightInd w:val="0"/>
              <w:snapToGrid w:val="0"/>
              <w:spacing w:before="50" w:line="360" w:lineRule="auto"/>
              <w:jc w:val="center"/>
              <w:rPr>
                <w:color w:val="auto"/>
              </w:rPr>
            </w:pPr>
            <w:r>
              <w:rPr>
                <w:color w:val="auto"/>
              </w:rPr>
              <w:t>招标文件要求</w:t>
            </w:r>
          </w:p>
        </w:tc>
        <w:tc>
          <w:tcPr>
            <w:tcW w:w="962" w:type="pct"/>
            <w:noWrap w:val="0"/>
            <w:vAlign w:val="top"/>
          </w:tcPr>
          <w:p w14:paraId="3B66E6A6">
            <w:pPr>
              <w:adjustRightInd w:val="0"/>
              <w:snapToGrid w:val="0"/>
              <w:spacing w:before="50" w:line="360" w:lineRule="auto"/>
              <w:jc w:val="center"/>
              <w:rPr>
                <w:color w:val="auto"/>
              </w:rPr>
            </w:pPr>
            <w:r>
              <w:rPr>
                <w:color w:val="auto"/>
              </w:rPr>
              <w:t>投标文件应答</w:t>
            </w:r>
          </w:p>
        </w:tc>
        <w:tc>
          <w:tcPr>
            <w:tcW w:w="905" w:type="pct"/>
            <w:noWrap w:val="0"/>
            <w:vAlign w:val="center"/>
          </w:tcPr>
          <w:p w14:paraId="2DFB8584">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23C649B">
            <w:pPr>
              <w:adjustRightInd w:val="0"/>
              <w:snapToGrid w:val="0"/>
              <w:spacing w:before="50" w:line="360" w:lineRule="auto"/>
              <w:ind w:left="-88" w:leftChars="-42"/>
              <w:jc w:val="center"/>
              <w:rPr>
                <w:color w:val="auto"/>
                <w:szCs w:val="21"/>
              </w:rPr>
            </w:pPr>
            <w:r>
              <w:rPr>
                <w:color w:val="auto"/>
                <w:szCs w:val="21"/>
              </w:rPr>
              <w:t>偏离说明</w:t>
            </w:r>
          </w:p>
        </w:tc>
      </w:tr>
      <w:tr w14:paraId="331593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1B8656">
            <w:pPr>
              <w:adjustRightInd w:val="0"/>
              <w:snapToGrid w:val="0"/>
              <w:spacing w:before="50" w:line="360" w:lineRule="auto"/>
              <w:ind w:left="-88" w:leftChars="-42"/>
              <w:jc w:val="center"/>
              <w:rPr>
                <w:color w:val="auto"/>
                <w:szCs w:val="21"/>
              </w:rPr>
            </w:pPr>
          </w:p>
        </w:tc>
        <w:tc>
          <w:tcPr>
            <w:tcW w:w="1123" w:type="pct"/>
            <w:noWrap w:val="0"/>
            <w:vAlign w:val="center"/>
          </w:tcPr>
          <w:p w14:paraId="7F071BAC">
            <w:pPr>
              <w:adjustRightInd w:val="0"/>
              <w:snapToGrid w:val="0"/>
              <w:spacing w:before="50" w:line="360" w:lineRule="auto"/>
              <w:ind w:left="-88" w:leftChars="-42"/>
              <w:jc w:val="center"/>
              <w:rPr>
                <w:color w:val="auto"/>
                <w:szCs w:val="21"/>
              </w:rPr>
            </w:pPr>
          </w:p>
        </w:tc>
        <w:tc>
          <w:tcPr>
            <w:tcW w:w="1000" w:type="pct"/>
            <w:noWrap w:val="0"/>
            <w:vAlign w:val="center"/>
          </w:tcPr>
          <w:p w14:paraId="13503BDF">
            <w:pPr>
              <w:adjustRightInd w:val="0"/>
              <w:snapToGrid w:val="0"/>
              <w:spacing w:before="50" w:line="360" w:lineRule="auto"/>
              <w:ind w:left="-88" w:leftChars="-42"/>
              <w:jc w:val="center"/>
              <w:rPr>
                <w:color w:val="auto"/>
                <w:szCs w:val="21"/>
              </w:rPr>
            </w:pPr>
          </w:p>
        </w:tc>
        <w:tc>
          <w:tcPr>
            <w:tcW w:w="962" w:type="pct"/>
            <w:noWrap w:val="0"/>
            <w:vAlign w:val="center"/>
          </w:tcPr>
          <w:p w14:paraId="679E2D5C">
            <w:pPr>
              <w:adjustRightInd w:val="0"/>
              <w:snapToGrid w:val="0"/>
              <w:spacing w:before="50" w:line="360" w:lineRule="auto"/>
              <w:ind w:left="-88" w:leftChars="-42"/>
              <w:jc w:val="center"/>
              <w:rPr>
                <w:color w:val="auto"/>
                <w:szCs w:val="21"/>
              </w:rPr>
            </w:pPr>
          </w:p>
        </w:tc>
        <w:tc>
          <w:tcPr>
            <w:tcW w:w="905" w:type="pct"/>
            <w:noWrap w:val="0"/>
            <w:vAlign w:val="center"/>
          </w:tcPr>
          <w:p w14:paraId="4D6EF1D3">
            <w:pPr>
              <w:adjustRightInd w:val="0"/>
              <w:snapToGrid w:val="0"/>
              <w:spacing w:before="50" w:line="360" w:lineRule="auto"/>
              <w:ind w:left="-88" w:leftChars="-42"/>
              <w:jc w:val="center"/>
              <w:rPr>
                <w:color w:val="auto"/>
                <w:szCs w:val="21"/>
              </w:rPr>
            </w:pPr>
          </w:p>
        </w:tc>
        <w:tc>
          <w:tcPr>
            <w:tcW w:w="634" w:type="pct"/>
            <w:noWrap w:val="0"/>
            <w:vAlign w:val="center"/>
          </w:tcPr>
          <w:p w14:paraId="6A5CA19D">
            <w:pPr>
              <w:adjustRightInd w:val="0"/>
              <w:snapToGrid w:val="0"/>
              <w:spacing w:before="50" w:line="360" w:lineRule="auto"/>
              <w:ind w:left="-88" w:leftChars="-42"/>
              <w:jc w:val="center"/>
              <w:rPr>
                <w:color w:val="auto"/>
                <w:szCs w:val="21"/>
              </w:rPr>
            </w:pPr>
          </w:p>
        </w:tc>
      </w:tr>
      <w:tr w14:paraId="7B088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9849A3">
            <w:pPr>
              <w:adjustRightInd w:val="0"/>
              <w:snapToGrid w:val="0"/>
              <w:spacing w:before="50" w:line="360" w:lineRule="auto"/>
              <w:ind w:left="-88" w:leftChars="-42"/>
              <w:jc w:val="center"/>
              <w:rPr>
                <w:color w:val="auto"/>
                <w:szCs w:val="21"/>
              </w:rPr>
            </w:pPr>
          </w:p>
        </w:tc>
        <w:tc>
          <w:tcPr>
            <w:tcW w:w="1123" w:type="pct"/>
            <w:noWrap w:val="0"/>
            <w:vAlign w:val="center"/>
          </w:tcPr>
          <w:p w14:paraId="3558EDD5">
            <w:pPr>
              <w:adjustRightInd w:val="0"/>
              <w:snapToGrid w:val="0"/>
              <w:spacing w:before="50" w:line="360" w:lineRule="auto"/>
              <w:ind w:left="-88" w:leftChars="-42"/>
              <w:jc w:val="center"/>
              <w:rPr>
                <w:color w:val="auto"/>
                <w:szCs w:val="21"/>
              </w:rPr>
            </w:pPr>
          </w:p>
        </w:tc>
        <w:tc>
          <w:tcPr>
            <w:tcW w:w="1000" w:type="pct"/>
            <w:noWrap w:val="0"/>
            <w:vAlign w:val="center"/>
          </w:tcPr>
          <w:p w14:paraId="694A8AEB">
            <w:pPr>
              <w:adjustRightInd w:val="0"/>
              <w:snapToGrid w:val="0"/>
              <w:spacing w:before="50" w:line="360" w:lineRule="auto"/>
              <w:ind w:left="-88" w:leftChars="-42"/>
              <w:jc w:val="center"/>
              <w:rPr>
                <w:color w:val="auto"/>
                <w:szCs w:val="21"/>
              </w:rPr>
            </w:pPr>
          </w:p>
        </w:tc>
        <w:tc>
          <w:tcPr>
            <w:tcW w:w="962" w:type="pct"/>
            <w:noWrap w:val="0"/>
            <w:vAlign w:val="center"/>
          </w:tcPr>
          <w:p w14:paraId="2A87F188">
            <w:pPr>
              <w:adjustRightInd w:val="0"/>
              <w:snapToGrid w:val="0"/>
              <w:spacing w:before="50" w:line="360" w:lineRule="auto"/>
              <w:ind w:left="-88" w:leftChars="-42"/>
              <w:jc w:val="center"/>
              <w:rPr>
                <w:color w:val="auto"/>
                <w:szCs w:val="21"/>
              </w:rPr>
            </w:pPr>
          </w:p>
        </w:tc>
        <w:tc>
          <w:tcPr>
            <w:tcW w:w="905" w:type="pct"/>
            <w:noWrap w:val="0"/>
            <w:vAlign w:val="center"/>
          </w:tcPr>
          <w:p w14:paraId="5EB7431D">
            <w:pPr>
              <w:adjustRightInd w:val="0"/>
              <w:snapToGrid w:val="0"/>
              <w:spacing w:before="50" w:line="360" w:lineRule="auto"/>
              <w:ind w:left="-88" w:leftChars="-42"/>
              <w:jc w:val="center"/>
              <w:rPr>
                <w:color w:val="auto"/>
                <w:szCs w:val="21"/>
              </w:rPr>
            </w:pPr>
          </w:p>
        </w:tc>
        <w:tc>
          <w:tcPr>
            <w:tcW w:w="634" w:type="pct"/>
            <w:noWrap w:val="0"/>
            <w:vAlign w:val="center"/>
          </w:tcPr>
          <w:p w14:paraId="77859E8C">
            <w:pPr>
              <w:adjustRightInd w:val="0"/>
              <w:snapToGrid w:val="0"/>
              <w:spacing w:before="50" w:line="360" w:lineRule="auto"/>
              <w:ind w:left="-88" w:leftChars="-42"/>
              <w:jc w:val="center"/>
              <w:rPr>
                <w:color w:val="auto"/>
                <w:szCs w:val="21"/>
              </w:rPr>
            </w:pPr>
          </w:p>
        </w:tc>
      </w:tr>
      <w:tr w14:paraId="48DD3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405E158">
            <w:pPr>
              <w:adjustRightInd w:val="0"/>
              <w:snapToGrid w:val="0"/>
              <w:spacing w:before="50" w:line="360" w:lineRule="auto"/>
              <w:ind w:left="-88" w:leftChars="-42"/>
              <w:jc w:val="center"/>
              <w:rPr>
                <w:color w:val="auto"/>
                <w:szCs w:val="21"/>
              </w:rPr>
            </w:pPr>
          </w:p>
        </w:tc>
        <w:tc>
          <w:tcPr>
            <w:tcW w:w="1123" w:type="pct"/>
            <w:noWrap w:val="0"/>
            <w:vAlign w:val="center"/>
          </w:tcPr>
          <w:p w14:paraId="50934876">
            <w:pPr>
              <w:adjustRightInd w:val="0"/>
              <w:snapToGrid w:val="0"/>
              <w:spacing w:before="50" w:line="360" w:lineRule="auto"/>
              <w:ind w:left="-88" w:leftChars="-42"/>
              <w:jc w:val="center"/>
              <w:rPr>
                <w:color w:val="auto"/>
                <w:szCs w:val="21"/>
              </w:rPr>
            </w:pPr>
          </w:p>
        </w:tc>
        <w:tc>
          <w:tcPr>
            <w:tcW w:w="1000" w:type="pct"/>
            <w:noWrap w:val="0"/>
            <w:vAlign w:val="center"/>
          </w:tcPr>
          <w:p w14:paraId="57DF41CC">
            <w:pPr>
              <w:adjustRightInd w:val="0"/>
              <w:snapToGrid w:val="0"/>
              <w:spacing w:before="50" w:line="360" w:lineRule="auto"/>
              <w:ind w:left="-88" w:leftChars="-42"/>
              <w:jc w:val="center"/>
              <w:rPr>
                <w:color w:val="auto"/>
                <w:szCs w:val="21"/>
              </w:rPr>
            </w:pPr>
          </w:p>
        </w:tc>
        <w:tc>
          <w:tcPr>
            <w:tcW w:w="962" w:type="pct"/>
            <w:noWrap w:val="0"/>
            <w:vAlign w:val="center"/>
          </w:tcPr>
          <w:p w14:paraId="3CD87D67">
            <w:pPr>
              <w:adjustRightInd w:val="0"/>
              <w:snapToGrid w:val="0"/>
              <w:spacing w:before="50" w:line="360" w:lineRule="auto"/>
              <w:ind w:left="-88" w:leftChars="-42"/>
              <w:jc w:val="center"/>
              <w:rPr>
                <w:color w:val="auto"/>
                <w:szCs w:val="21"/>
              </w:rPr>
            </w:pPr>
          </w:p>
        </w:tc>
        <w:tc>
          <w:tcPr>
            <w:tcW w:w="905" w:type="pct"/>
            <w:noWrap w:val="0"/>
            <w:vAlign w:val="center"/>
          </w:tcPr>
          <w:p w14:paraId="6E10CB4E">
            <w:pPr>
              <w:adjustRightInd w:val="0"/>
              <w:snapToGrid w:val="0"/>
              <w:spacing w:before="50" w:line="360" w:lineRule="auto"/>
              <w:ind w:left="-88" w:leftChars="-42"/>
              <w:jc w:val="center"/>
              <w:rPr>
                <w:color w:val="auto"/>
                <w:szCs w:val="21"/>
              </w:rPr>
            </w:pPr>
          </w:p>
        </w:tc>
        <w:tc>
          <w:tcPr>
            <w:tcW w:w="634" w:type="pct"/>
            <w:noWrap w:val="0"/>
            <w:vAlign w:val="center"/>
          </w:tcPr>
          <w:p w14:paraId="661FDB6E">
            <w:pPr>
              <w:adjustRightInd w:val="0"/>
              <w:snapToGrid w:val="0"/>
              <w:spacing w:before="50" w:line="360" w:lineRule="auto"/>
              <w:ind w:left="-88" w:leftChars="-42"/>
              <w:jc w:val="center"/>
              <w:rPr>
                <w:color w:val="auto"/>
                <w:szCs w:val="21"/>
              </w:rPr>
            </w:pPr>
          </w:p>
        </w:tc>
      </w:tr>
      <w:tr w14:paraId="63886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19FEF56">
            <w:pPr>
              <w:rPr>
                <w:b/>
                <w:color w:val="auto"/>
              </w:rPr>
            </w:pPr>
            <w:r>
              <w:rPr>
                <w:b/>
                <w:color w:val="auto"/>
              </w:rPr>
              <w:t>投标人保证：我单位对招标文件的其他采购需求条款完全响应，无偏离。</w:t>
            </w:r>
          </w:p>
        </w:tc>
      </w:tr>
    </w:tbl>
    <w:p w14:paraId="376B2519">
      <w:pPr>
        <w:adjustRightInd w:val="0"/>
        <w:snapToGrid w:val="0"/>
        <w:spacing w:before="50" w:line="360" w:lineRule="auto"/>
        <w:ind w:left="-88" w:leftChars="-42"/>
        <w:rPr>
          <w:color w:val="auto"/>
          <w:sz w:val="24"/>
        </w:rPr>
      </w:pPr>
      <w:r>
        <w:rPr>
          <w:b/>
          <w:color w:val="auto"/>
          <w:sz w:val="24"/>
        </w:rPr>
        <w:t>备注</w:t>
      </w:r>
      <w:r>
        <w:rPr>
          <w:color w:val="auto"/>
          <w:sz w:val="24"/>
        </w:rPr>
        <w:t>：</w:t>
      </w:r>
    </w:p>
    <w:p w14:paraId="27BFA88B">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0B4CF7C">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3610C1F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15F6B5D7">
      <w:pPr>
        <w:rPr>
          <w:color w:val="auto"/>
        </w:rPr>
      </w:pPr>
    </w:p>
    <w:p w14:paraId="11F55F47"/>
    <w:p w14:paraId="4CB7BCD0"/>
    <w:p w14:paraId="3013C3C9"/>
    <w:p w14:paraId="2E11CD2C"/>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34A9">
    <w:pPr>
      <w:pStyle w:val="6"/>
      <w:rPr>
        <w:rFonts w:hint="eastAsia" w:ascii="仿宋_GB2312" w:eastAsia="仿宋_GB2312"/>
        <w:bCs/>
        <w:u w:val="single"/>
      </w:rPr>
    </w:pPr>
    <w:r>
      <w:rPr>
        <w:rFonts w:hint="eastAsia" w:ascii="仿宋_GB2312" w:eastAsia="仿宋_GB2312"/>
        <w:bCs/>
        <w:u w:val="single"/>
      </w:rPr>
      <w:t xml:space="preserve">                                                                                                 </w:t>
    </w:r>
  </w:p>
  <w:p w14:paraId="5A5FC963">
    <w:pPr>
      <w:adjustRightInd w:val="0"/>
      <w:snapToGrid w:val="0"/>
      <w:spacing w:line="260" w:lineRule="atLeast"/>
      <w:ind w:left="482" w:hanging="482"/>
      <w:rPr>
        <w:rFonts w:hint="eastAsia" w:ascii="宋体" w:hAnsi="宋体"/>
        <w:kern w:val="0"/>
        <w:sz w:val="18"/>
        <w:szCs w:val="21"/>
      </w:rPr>
    </w:pPr>
  </w:p>
  <w:p w14:paraId="23F24BC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9FE0">
    <w:pPr>
      <w:pStyle w:val="6"/>
      <w:rPr>
        <w:rFonts w:hint="eastAsia" w:ascii="仿宋_GB2312" w:eastAsia="仿宋_GB2312"/>
        <w:bCs/>
        <w:u w:val="single"/>
      </w:rPr>
    </w:pPr>
    <w:r>
      <w:rPr>
        <w:rFonts w:hint="eastAsia" w:ascii="仿宋_GB2312" w:eastAsia="仿宋_GB2312"/>
        <w:bCs/>
        <w:u w:val="single"/>
      </w:rPr>
      <w:t xml:space="preserve">                                                                                                 </w:t>
    </w:r>
  </w:p>
  <w:p w14:paraId="778A187C">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6EBB">
    <w:pPr>
      <w:pStyle w:val="7"/>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4F54C1"/>
    <w:rsid w:val="2F4F54C1"/>
    <w:rsid w:val="52EA0C77"/>
    <w:rsid w:val="56D4209E"/>
    <w:rsid w:val="584C2108"/>
    <w:rsid w:val="623D14F3"/>
    <w:rsid w:val="674F7C46"/>
    <w:rsid w:val="6FD1546C"/>
    <w:rsid w:val="79C24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3">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widowControl/>
      <w:ind w:firstLine="420"/>
      <w:jc w:val="left"/>
    </w:pPr>
    <w:rPr>
      <w:kern w:val="0"/>
      <w:sz w:val="20"/>
      <w:szCs w:val="20"/>
    </w:rPr>
  </w:style>
  <w:style w:type="paragraph" w:styleId="4">
    <w:name w:val="Body Text First Indent 2"/>
    <w:basedOn w:val="5"/>
    <w:next w:val="3"/>
    <w:qFormat/>
    <w:uiPriority w:val="0"/>
    <w:pPr>
      <w:autoSpaceDE w:val="0"/>
      <w:autoSpaceDN w:val="0"/>
      <w:adjustRightInd w:val="0"/>
      <w:ind w:firstLine="420"/>
      <w:jc w:val="left"/>
    </w:pPr>
    <w:rPr>
      <w:kern w:val="0"/>
    </w:rPr>
  </w:style>
  <w:style w:type="paragraph" w:styleId="5">
    <w:name w:val="Body Text Indent"/>
    <w:basedOn w:val="1"/>
    <w:next w:val="1"/>
    <w:qFormat/>
    <w:uiPriority w:val="0"/>
    <w:pPr>
      <w:spacing w:after="120" w:line="400" w:lineRule="exact"/>
      <w:ind w:left="420" w:leftChars="200"/>
    </w:pPr>
    <w:rPr>
      <w:rFonts w:ascii="Calibri" w:hAnsi="Calibri"/>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列出段落1"/>
    <w:basedOn w:val="1"/>
    <w:autoRedefine/>
    <w:qFormat/>
    <w:uiPriority w:val="99"/>
    <w:pPr>
      <w:ind w:firstLine="420" w:firstLineChars="200"/>
    </w:p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5798</Words>
  <Characters>6336</Characters>
  <Lines>0</Lines>
  <Paragraphs>0</Paragraphs>
  <TotalTime>896</TotalTime>
  <ScaleCrop>false</ScaleCrop>
  <LinksUpToDate>false</LinksUpToDate>
  <CharactersWithSpaces>8279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2024-11-20T06:31:00Z</dcterms:created>
  <dc:creator>是小豹子</dc:creator>
  <cp:lastModifiedBy>是小豹子</cp:lastModifiedBy>
  <dcterms:modified xsi:type="dcterms:W3CDTF">2024-12-02T08:28:54Z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CFB3153D651D4BF98CA680D94C4F3FA9_11</vt:lpwstr>
  </property>
</Properties>
</file>